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B4D92"/>
          <w:sz w:val="40"/>
        </w:rPr>
        <w:t>ENIX SARL</w:t>
      </w:r>
    </w:p>
    <w:p>
      <w:pPr>
        <w:jc w:val="center"/>
      </w:pPr>
      <w:r>
        <w:rPr>
          <w:b/>
          <w:sz w:val="28"/>
        </w:rPr>
        <w:t>Formulaire de qualification — Forensic — Investigation numérique</w:t>
      </w:r>
    </w:p>
    <w:p>
      <w:pPr>
        <w:jc w:val="center"/>
      </w:pPr>
      <w:r>
        <w:rPr>
          <w:i/>
          <w:sz w:val="20"/>
        </w:rPr>
        <w:t>Réponse à incident, analyse post-mortem, réquisitions judiciaires, chain of custody</w:t>
      </w:r>
    </w:p>
    <w:p>
      <w:pPr>
        <w:jc w:val="center"/>
      </w:pPr>
      <w:r>
        <w:rPr>
          <w:color w:val="555555"/>
          <w:sz w:val="18"/>
        </w:rPr>
        <w:t>À renvoyer rempli à : sales@enix.cm  —  www.enixcompany.com</w:t>
      </w:r>
    </w:p>
    <w:p>
      <w:r>
        <w:t>────────────────────────────────────────────────────────────────────────────────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pStyle w:val="Heading2"/>
      </w:pPr>
      <w:r>
        <w:rPr>
          <w:color w:val="0B4D92"/>
        </w:rPr>
        <w:t>1. Vos coordonnées</w:t>
      </w:r>
    </w:p>
    <w:p>
      <w:r>
        <w:rPr>
          <w:b/>
          <w:sz w:val="22"/>
        </w:rPr>
        <w:t>Nom de l'organisme *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Personne de contact *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Fonction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Email professionnel *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Téléphone *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Site web / réseaux sociaux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Adresse / ville / pays</w:t>
      </w:r>
    </w:p>
    <w:p>
      <w:pPr>
        <w:ind w:left="227"/>
      </w:pPr>
      <w:r>
        <w:t>__________________________________________________________________________________________</w:t>
      </w:r>
    </w:p>
    <w:p/>
    <w:p>
      <w:pPr>
        <w:pStyle w:val="Heading2"/>
      </w:pPr>
      <w:r>
        <w:rPr>
          <w:color w:val="0B4D92"/>
        </w:rPr>
        <w:t>2. Nature de l'intervention</w:t>
      </w:r>
    </w:p>
    <w:p>
      <w:r>
        <w:rPr>
          <w:b/>
          <w:sz w:val="22"/>
        </w:rPr>
        <w:t>Urgence</w:t>
      </w:r>
    </w:p>
    <w:p>
      <w:pPr>
        <w:ind w:left="454"/>
      </w:pPr>
      <w:r>
        <w:t>☐  CRITIQUE — incident en cours</w:t>
      </w:r>
    </w:p>
    <w:p>
      <w:pPr>
        <w:ind w:left="454"/>
      </w:pPr>
      <w:r>
        <w:t>☐  URGENT — incident contenu, analyse immédiate</w:t>
      </w:r>
    </w:p>
    <w:p>
      <w:pPr>
        <w:ind w:left="454"/>
      </w:pPr>
      <w:r>
        <w:t>☐  NORMAL — analyse planifiée</w:t>
      </w:r>
    </w:p>
    <w:p>
      <w:pPr>
        <w:ind w:left="454"/>
      </w:pPr>
      <w:r>
        <w:t>☐  PRÉVENTIF — préparation d'une réponse à incident</w:t>
      </w:r>
    </w:p>
    <w:p/>
    <w:p>
      <w:r>
        <w:rPr>
          <w:b/>
          <w:sz w:val="22"/>
        </w:rPr>
        <w:t>Nature du dossier</w:t>
      </w:r>
    </w:p>
    <w:p>
      <w:pPr>
        <w:ind w:left="454"/>
      </w:pPr>
      <w:r>
        <w:t>☐  Intrusion / piratage</w:t>
      </w:r>
    </w:p>
    <w:p>
      <w:pPr>
        <w:ind w:left="454"/>
      </w:pPr>
      <w:r>
        <w:t>☐  Ransomware</w:t>
      </w:r>
    </w:p>
    <w:p>
      <w:pPr>
        <w:ind w:left="454"/>
      </w:pPr>
      <w:r>
        <w:t>☐  Fuite de données / exfiltration</w:t>
      </w:r>
    </w:p>
    <w:p>
      <w:pPr>
        <w:ind w:left="454"/>
      </w:pPr>
      <w:r>
        <w:t>☐  Fraude interne / détournement</w:t>
      </w:r>
    </w:p>
    <w:p>
      <w:pPr>
        <w:ind w:left="454"/>
      </w:pPr>
      <w:r>
        <w:t>☐  Vol de propriété intellectuelle</w:t>
      </w:r>
    </w:p>
    <w:p>
      <w:pPr>
        <w:ind w:left="454"/>
      </w:pPr>
      <w:r>
        <w:t>☐  Compromission de messagerie (BEC)</w:t>
      </w:r>
    </w:p>
    <w:p>
      <w:pPr>
        <w:ind w:left="454"/>
      </w:pPr>
      <w:r>
        <w:t>☐  Défacement / sabotage</w:t>
      </w:r>
    </w:p>
    <w:p>
      <w:pPr>
        <w:ind w:left="454"/>
      </w:pPr>
      <w:r>
        <w:t>☐  Réquisition judiciaire / commission rogatoire</w:t>
      </w:r>
    </w:p>
    <w:p>
      <w:pPr>
        <w:ind w:left="454"/>
      </w:pPr>
      <w:r>
        <w:t>☐  Contentieux prud'homal avec élément numérique</w:t>
      </w:r>
    </w:p>
    <w:p>
      <w:pPr>
        <w:ind w:left="454"/>
      </w:pPr>
      <w:r>
        <w:t>☐  Appui à investigation pénale</w:t>
      </w:r>
    </w:p>
    <w:p>
      <w:pPr>
        <w:ind w:left="454"/>
      </w:pPr>
      <w:r>
        <w:t>☐  Autre — à préciser</w:t>
      </w:r>
    </w:p>
    <w:p/>
    <w:p>
      <w:pPr>
        <w:pStyle w:val="Heading2"/>
      </w:pPr>
      <w:r>
        <w:rPr>
          <w:color w:val="0B4D92"/>
        </w:rPr>
        <w:t>3. Systèmes concernés</w:t>
      </w:r>
    </w:p>
    <w:p>
      <w:r>
        <w:rPr>
          <w:b/>
          <w:sz w:val="22"/>
        </w:rPr>
        <w:t>Systèmes touchés</w:t>
      </w:r>
    </w:p>
    <w:p>
      <w:pPr>
        <w:ind w:left="454"/>
      </w:pPr>
      <w:r>
        <w:t>☐  Postes de travail</w:t>
      </w:r>
    </w:p>
    <w:p>
      <w:pPr>
        <w:ind w:left="454"/>
      </w:pPr>
      <w:r>
        <w:t>☐  Serveurs</w:t>
      </w:r>
    </w:p>
    <w:p>
      <w:pPr>
        <w:ind w:left="454"/>
      </w:pPr>
      <w:r>
        <w:t>☐  Active Directory</w:t>
      </w:r>
    </w:p>
    <w:p>
      <w:pPr>
        <w:ind w:left="454"/>
      </w:pPr>
      <w:r>
        <w:t>☐  Messagerie / Exchange / O365</w:t>
      </w:r>
    </w:p>
    <w:p>
      <w:pPr>
        <w:ind w:left="454"/>
      </w:pPr>
      <w:r>
        <w:t>☐  Sites web / e-commerce</w:t>
      </w:r>
    </w:p>
    <w:p>
      <w:pPr>
        <w:ind w:left="454"/>
      </w:pPr>
      <w:r>
        <w:t>☐  Bases de données</w:t>
      </w:r>
    </w:p>
    <w:p>
      <w:pPr>
        <w:ind w:left="454"/>
      </w:pPr>
      <w:r>
        <w:t>☐  Cloud (AWS/Azure/GCP)</w:t>
      </w:r>
    </w:p>
    <w:p>
      <w:pPr>
        <w:ind w:left="454"/>
      </w:pPr>
      <w:r>
        <w:t>☐  Téléphones mobiles</w:t>
      </w:r>
    </w:p>
    <w:p>
      <w:pPr>
        <w:ind w:left="454"/>
      </w:pPr>
      <w:r>
        <w:t>☐  Équipements réseau</w:t>
      </w:r>
    </w:p>
    <w:p/>
    <w:p>
      <w:r>
        <w:rPr>
          <w:b/>
          <w:sz w:val="22"/>
        </w:rPr>
        <w:t>Nombre approximatif de machines / supports à analyser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Date de détection de l'incident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Date(s) supposée(s) de l'incident</w:t>
      </w:r>
    </w:p>
    <w:p>
      <w:pPr>
        <w:ind w:left="227"/>
      </w:pPr>
      <w:r>
        <w:t>__________________________________________________________________________________________</w:t>
      </w:r>
    </w:p>
    <w:p/>
    <w:p>
      <w:pPr>
        <w:pStyle w:val="Heading2"/>
      </w:pPr>
      <w:r>
        <w:rPr>
          <w:color w:val="0B4D92"/>
        </w:rPr>
        <w:t>4. Actions déjà entreprises</w:t>
      </w:r>
    </w:p>
    <w:p>
      <w:r>
        <w:rPr>
          <w:b/>
          <w:sz w:val="22"/>
        </w:rPr>
        <w:t>Actions déjà réalisées</w:t>
      </w:r>
    </w:p>
    <w:p>
      <w:pPr>
        <w:ind w:left="454"/>
      </w:pPr>
      <w:r>
        <w:t>☐  Aucune (systèmes en l'état)</w:t>
      </w:r>
    </w:p>
    <w:p>
      <w:pPr>
        <w:ind w:left="454"/>
      </w:pPr>
      <w:r>
        <w:t>☐  Isolation des machines touchées</w:t>
      </w:r>
    </w:p>
    <w:p>
      <w:pPr>
        <w:ind w:left="454"/>
      </w:pPr>
      <w:r>
        <w:t>☐  Sauvegarde / image disque</w:t>
      </w:r>
    </w:p>
    <w:p>
      <w:pPr>
        <w:ind w:left="454"/>
      </w:pPr>
      <w:r>
        <w:t>☐  Changement de mots de passe</w:t>
      </w:r>
    </w:p>
    <w:p>
      <w:pPr>
        <w:ind w:left="454"/>
      </w:pPr>
      <w:r>
        <w:t>☐  Déconnexion du réseau</w:t>
      </w:r>
    </w:p>
    <w:p>
      <w:pPr>
        <w:ind w:left="454"/>
      </w:pPr>
      <w:r>
        <w:t>☐  Dépôt de plainte</w:t>
      </w:r>
    </w:p>
    <w:p>
      <w:pPr>
        <w:ind w:left="454"/>
      </w:pPr>
      <w:r>
        <w:t>☐  Notification à l'ANTIC / CERT</w:t>
      </w:r>
    </w:p>
    <w:p>
      <w:pPr>
        <w:ind w:left="454"/>
      </w:pPr>
      <w:r>
        <w:t>☐  Analyse par une autre équipe</w:t>
      </w:r>
    </w:p>
    <w:p/>
    <w:p>
      <w:r>
        <w:rPr>
          <w:b/>
          <w:sz w:val="22"/>
        </w:rPr>
        <w:t>Aspect judiciaire</w:t>
      </w:r>
    </w:p>
    <w:p>
      <w:pPr>
        <w:ind w:left="454"/>
      </w:pPr>
      <w:r>
        <w:t>☐  Plainte déposée</w:t>
      </w:r>
    </w:p>
    <w:p>
      <w:pPr>
        <w:ind w:left="454"/>
      </w:pPr>
      <w:r>
        <w:t>☐  Réquisition reçue</w:t>
      </w:r>
    </w:p>
    <w:p>
      <w:pPr>
        <w:ind w:left="454"/>
      </w:pPr>
      <w:r>
        <w:t>☐  Procédure à venir</w:t>
      </w:r>
    </w:p>
    <w:p>
      <w:pPr>
        <w:ind w:left="454"/>
      </w:pPr>
      <w:r>
        <w:t>☐  Aucune dimension judiciaire</w:t>
      </w:r>
    </w:p>
    <w:p/>
    <w:p>
      <w:pPr>
        <w:pStyle w:val="Heading2"/>
      </w:pPr>
      <w:r>
        <w:rPr>
          <w:color w:val="0B4D92"/>
        </w:rPr>
        <w:t>5. Livrables &amp; contraintes</w:t>
      </w:r>
    </w:p>
    <w:p>
      <w:r>
        <w:rPr>
          <w:b/>
          <w:sz w:val="22"/>
        </w:rPr>
        <w:t>Livrables attendus</w:t>
      </w:r>
    </w:p>
    <w:p>
      <w:pPr>
        <w:ind w:left="454"/>
      </w:pPr>
      <w:r>
        <w:t>☐  Rapport d'analyse technique</w:t>
      </w:r>
    </w:p>
    <w:p>
      <w:pPr>
        <w:ind w:left="454"/>
      </w:pPr>
      <w:r>
        <w:t>☐  Rapport recevable en justice (chain of custody)</w:t>
      </w:r>
    </w:p>
    <w:p>
      <w:pPr>
        <w:ind w:left="454"/>
      </w:pPr>
      <w:r>
        <w:t>☐  Témoignage d'expert</w:t>
      </w:r>
    </w:p>
    <w:p>
      <w:pPr>
        <w:ind w:left="454"/>
      </w:pPr>
      <w:r>
        <w:t>☐  Extraction et restitution de preuves numériques</w:t>
      </w:r>
    </w:p>
    <w:p>
      <w:pPr>
        <w:ind w:left="454"/>
      </w:pPr>
      <w:r>
        <w:t>☐  Reconstitution chronologique (timeline)</w:t>
      </w:r>
    </w:p>
    <w:p>
      <w:pPr>
        <w:ind w:left="454"/>
      </w:pPr>
      <w:r>
        <w:t>☐  Appui à la remédiation</w:t>
      </w:r>
    </w:p>
    <w:p>
      <w:pPr>
        <w:ind w:left="454"/>
      </w:pPr>
      <w:r>
        <w:t>☐  Plan de préservation des preuves</w:t>
      </w:r>
    </w:p>
    <w:p/>
    <w:p>
      <w:r>
        <w:rPr>
          <w:b/>
          <w:sz w:val="22"/>
        </w:rPr>
        <w:t>Contraintes de confidentialité</w:t>
      </w:r>
    </w:p>
    <w:p>
      <w:pPr>
        <w:ind w:left="227"/>
      </w:pPr>
      <w:r>
        <w:t>__________________________________________________________________________________________</w:t>
      </w:r>
    </w:p>
    <w:p>
      <w:pPr>
        <w:ind w:left="227"/>
      </w:pPr>
      <w:r>
        <w:t>__________________________________________________________________________________________</w:t>
      </w:r>
    </w:p>
    <w:p>
      <w:pPr>
        <w:ind w:left="227"/>
      </w:pPr>
      <w:r>
        <w:t>__________________________________________________________________________________________</w:t>
      </w:r>
    </w:p>
    <w:p/>
    <w:p>
      <w:pPr>
        <w:pStyle w:val="Heading2"/>
      </w:pPr>
      <w:r>
        <w:rPr>
          <w:color w:val="0B4D92"/>
        </w:rPr>
        <w:t>6. Budget &amp; délai</w:t>
      </w:r>
    </w:p>
    <w:p>
      <w:r>
        <w:rPr>
          <w:b/>
          <w:sz w:val="22"/>
        </w:rPr>
        <w:t>Budget indicatif (FCFA)</w:t>
      </w:r>
    </w:p>
    <w:p>
      <w:pPr>
        <w:ind w:left="454"/>
      </w:pPr>
      <w:r>
        <w:t>☐  Moins de 2M</w:t>
      </w:r>
    </w:p>
    <w:p>
      <w:pPr>
        <w:ind w:left="454"/>
      </w:pPr>
      <w:r>
        <w:t>☐  2 à 10M</w:t>
      </w:r>
    </w:p>
    <w:p>
      <w:pPr>
        <w:ind w:left="454"/>
      </w:pPr>
      <w:r>
        <w:t>☐  10 à 30M</w:t>
      </w:r>
    </w:p>
    <w:p>
      <w:pPr>
        <w:ind w:left="454"/>
      </w:pPr>
      <w:r>
        <w:t>☐  Plus de 30M</w:t>
      </w:r>
    </w:p>
    <w:p>
      <w:pPr>
        <w:ind w:left="454"/>
      </w:pPr>
      <w:r>
        <w:t>☐  À chiffrer selon gravité</w:t>
      </w:r>
    </w:p>
    <w:p/>
    <w:p>
      <w:r>
        <w:rPr>
          <w:b/>
          <w:sz w:val="22"/>
        </w:rPr>
        <w:t>Délai</w:t>
      </w:r>
    </w:p>
    <w:p>
      <w:pPr>
        <w:ind w:left="454"/>
      </w:pPr>
      <w:r>
        <w:t>☐  Intervention immédiate</w:t>
      </w:r>
    </w:p>
    <w:p>
      <w:pPr>
        <w:ind w:left="454"/>
      </w:pPr>
      <w:r>
        <w:t>☐  Sous 48 h</w:t>
      </w:r>
    </w:p>
    <w:p>
      <w:pPr>
        <w:ind w:left="454"/>
      </w:pPr>
      <w:r>
        <w:t>☐  Sous 1 semaine</w:t>
      </w:r>
    </w:p>
    <w:p>
      <w:pPr>
        <w:ind w:left="454"/>
      </w:pPr>
      <w:r>
        <w:t>☐  Planifié</w:t>
      </w:r>
    </w:p>
    <w:p/>
    <w:p>
      <w:pPr>
        <w:pStyle w:val="Heading2"/>
      </w:pPr>
      <w:r>
        <w:rPr>
          <w:color w:val="0B4D92"/>
        </w:rPr>
        <w:t>Informations complémentaires</w:t>
      </w:r>
    </w:p>
    <w:p>
      <w:r>
        <w:rPr>
          <w:b/>
          <w:sz w:val="22"/>
        </w:rPr>
        <w:t>Précisez tout contexte utile : délais, contraintes, budget indicatif, environnement existant, projets en cours, réglementations spécifiques…</w:t>
      </w:r>
    </w:p>
    <w:p>
      <w:pPr>
        <w:ind w:left="227"/>
      </w:pPr>
      <w:r>
        <w:t>__________________________________________________________________________________________</w:t>
      </w:r>
    </w:p>
    <w:p>
      <w:pPr>
        <w:ind w:left="227"/>
      </w:pPr>
      <w:r>
        <w:t>__________________________________________________________________________________________</w:t>
      </w:r>
    </w:p>
    <w:p>
      <w:pPr>
        <w:ind w:left="227"/>
      </w:pPr>
      <w:r>
        <w:t>__________________________________________________________________________________________</w:t>
      </w:r>
    </w:p>
    <w:p/>
    <w:p>
      <w:pPr>
        <w:pStyle w:val="Heading2"/>
      </w:pPr>
      <w:r>
        <w:rPr>
          <w:color w:val="0B4D92"/>
        </w:rPr>
        <w:t>Consentement RGPD / loi 2024/017</w:t>
      </w:r>
    </w:p>
    <w:p>
      <w:pPr>
        <w:ind w:left="227"/>
      </w:pPr>
      <w:r>
        <w:t>☐  J'accepte qu'ENIX SARL traite ces informations pour me recontacter au sujet de ma demande.</w:t>
      </w:r>
    </w:p>
    <w:p>
      <w:r>
        <w:rPr>
          <w:b/>
          <w:sz w:val="22"/>
        </w:rPr>
        <w:t>Date</w:t>
      </w:r>
    </w:p>
    <w:p>
      <w:pPr>
        <w:ind w:left="227"/>
      </w:pPr>
      <w:r>
        <w:t>__________________________________________________________________________________________</w:t>
      </w:r>
    </w:p>
    <w:p/>
    <w:p>
      <w:r>
        <w:rPr>
          <w:b/>
          <w:sz w:val="22"/>
        </w:rPr>
        <w:t>Nom et signature</w:t>
      </w:r>
    </w:p>
    <w:p>
      <w:pPr>
        <w:ind w:left="227"/>
      </w:pPr>
      <w:r>
        <w:t>__________________________________________________________________________________________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