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B4D92"/>
          <w:sz w:val="40"/>
        </w:rPr>
        <w:t>ENIX SARL</w:t>
      </w:r>
    </w:p>
    <w:p>
      <w:pPr>
        <w:jc w:val="center"/>
      </w:pPr>
      <w:r>
        <w:rPr>
          <w:color w:val="6C90B5"/>
          <w:sz w:val="28"/>
        </w:rPr>
        <w:t>Services tactiques — Devis mission</w:t>
      </w:r>
    </w:p>
    <w:p>
      <w:pPr>
        <w:jc w:val="center"/>
      </w:pPr>
      <w:r>
        <w:rPr>
          <w:i/>
        </w:rPr>
        <w:t>Interventions cybertactiques, équipes rouges, opérations spéciales et appui aux forces — dimensionnez votre mission.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val="clear" w:color="auto" w:fill="EAF2FB"/>
          </w:tcPr>
          <w:p>
            <w:r>
              <w:rPr>
                <w:b/>
              </w:rPr>
              <w:t xml:space="preserve">ℹ </w:t>
            </w:r>
            <w:r>
              <w:rPr>
                <w:sz w:val="20"/>
              </w:rPr>
              <w:t>Nos services tactiques s'adressent aux directions régaliennes, forces de sécurité et grands comptes qui font face à des menaces sophistiquées. Équipes rouges, surveillance d'individus malveillants, levée de doute, appui à enquête : chaque mission est cadrée par un contrat spécifique. Ce formulaire initie la qualification sous couvert de confidentialité.</w:t>
            </w:r>
          </w:p>
        </w:tc>
      </w:tr>
    </w:tbl>
    <w:p/>
    <w:p>
      <w:pPr>
        <w:spacing w:before="240" w:after="80"/>
      </w:pPr>
      <w:r>
        <w:rPr>
          <w:b/>
          <w:color w:val="0B4D92"/>
          <w:sz w:val="36"/>
        </w:rPr>
        <w:t>1. Identité de l'organisation</w:t>
      </w:r>
    </w:p>
    <w:p>
      <w:r>
        <w:rPr>
          <w:b/>
          <w:color w:val="333333"/>
          <w:sz w:val="22"/>
        </w:rPr>
        <w:t xml:space="preserve">Nom de l'organisme : </w:t>
      </w:r>
    </w:p>
    <w:p>
      <w:pPr>
        <w:spacing w:after="0"/>
      </w:pPr>
      <w:r>
        <w:rPr>
          <w:sz w:val="22"/>
        </w:rPr>
        <w:t>______________________________________________________________________</w:t>
      </w:r>
    </w:p>
    <w:p>
      <w:r>
        <w:rPr>
          <w:b/>
          <w:color w:val="333333"/>
          <w:sz w:val="22"/>
        </w:rPr>
        <w:t xml:space="preserve">Personne de contact : </w:t>
      </w:r>
    </w:p>
    <w:p>
      <w:pPr>
        <w:spacing w:after="0"/>
      </w:pPr>
      <w:r>
        <w:rPr>
          <w:sz w:val="22"/>
        </w:rPr>
        <w:t>______________________________________________________________________</w:t>
      </w:r>
    </w:p>
    <w:p>
      <w:r>
        <w:rPr>
          <w:b/>
          <w:color w:val="333333"/>
          <w:sz w:val="22"/>
        </w:rPr>
        <w:t xml:space="preserve">Fonction / Rôle : </w:t>
      </w:r>
    </w:p>
    <w:p>
      <w:pPr>
        <w:spacing w:after="0"/>
      </w:pPr>
      <w:r>
        <w:rPr>
          <w:sz w:val="22"/>
        </w:rPr>
        <w:t>______________________________________________________________________</w:t>
      </w:r>
    </w:p>
    <w:p>
      <w:r>
        <w:rPr>
          <w:b/>
          <w:color w:val="333333"/>
          <w:sz w:val="22"/>
        </w:rPr>
        <w:t xml:space="preserve">Email professionnel : </w:t>
      </w:r>
    </w:p>
    <w:p>
      <w:pPr>
        <w:spacing w:after="0"/>
      </w:pPr>
      <w:r>
        <w:rPr>
          <w:sz w:val="22"/>
        </w:rPr>
        <w:t>______________________________________________________________________</w:t>
      </w:r>
    </w:p>
    <w:p>
      <w:r>
        <w:rPr>
          <w:b/>
          <w:color w:val="333333"/>
          <w:sz w:val="22"/>
        </w:rPr>
        <w:t xml:space="preserve">Téléphone : </w:t>
      </w:r>
    </w:p>
    <w:p>
      <w:pPr>
        <w:spacing w:after="0"/>
      </w:pPr>
      <w:r>
        <w:rPr>
          <w:sz w:val="22"/>
        </w:rPr>
        <w:t>______________________________________________________________________</w:t>
      </w:r>
    </w:p>
    <w:p>
      <w:r>
        <w:rPr>
          <w:b/>
          <w:color w:val="333333"/>
          <w:sz w:val="22"/>
        </w:rPr>
        <w:t xml:space="preserve">Site web / LinkedIn : </w:t>
      </w:r>
    </w:p>
    <w:p>
      <w:pPr>
        <w:spacing w:after="0"/>
      </w:pPr>
      <w:r>
        <w:rPr>
          <w:sz w:val="22"/>
        </w:rPr>
        <w:t>______________________________________________________________________</w:t>
      </w:r>
    </w:p>
    <w:p>
      <w:r>
        <w:rPr>
          <w:b/>
          <w:color w:val="333333"/>
          <w:sz w:val="22"/>
        </w:rPr>
        <w:t xml:space="preserve">Ville : </w:t>
      </w:r>
    </w:p>
    <w:p>
      <w:pPr>
        <w:spacing w:after="0"/>
      </w:pPr>
      <w:r>
        <w:rPr>
          <w:sz w:val="22"/>
        </w:rPr>
        <w:t>______________________________________________________________________</w:t>
      </w:r>
    </w:p>
    <w:p>
      <w:r>
        <w:rPr>
          <w:b/>
          <w:color w:val="333333"/>
          <w:sz w:val="22"/>
        </w:rPr>
        <w:t xml:space="preserve">Pays (Cameroun par défaut) : </w:t>
      </w:r>
    </w:p>
    <w:p>
      <w:pPr>
        <w:spacing w:after="0"/>
      </w:pPr>
      <w:r>
        <w:rPr>
          <w:sz w:val="22"/>
        </w:rPr>
        <w:t>______________________________________________________________________</w:t>
      </w:r>
    </w:p>
    <w:p>
      <w:pPr>
        <w:spacing w:before="240" w:after="80"/>
      </w:pPr>
      <w:r>
        <w:rPr>
          <w:b/>
          <w:color w:val="0B4D92"/>
          <w:sz w:val="36"/>
        </w:rPr>
        <w:t>2. Détails du besoin</w:t>
      </w:r>
    </w:p>
    <w:p>
      <w:r>
        <w:rPr>
          <w:b/>
          <w:color w:val="333333"/>
          <w:sz w:val="22"/>
        </w:rPr>
        <w:t xml:space="preserve">Nature de la mission : 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Équipe rouge (simulation d'attaquant)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Levée de doute (intrusion suspectée)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Appui enquête judiciaire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Renseignement cyber (CTI ciblée)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Reconnaissance ouverte (OSINT)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Opération de déception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Protection VIP numérique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Autre (à préciser)</w:t>
      </w:r>
    </w:p>
    <w:p>
      <w:r>
        <w:rPr>
          <w:b/>
          <w:color w:val="333333"/>
          <w:sz w:val="22"/>
        </w:rPr>
        <w:t xml:space="preserve">Théâtre d'opération : 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Cameroun uniquement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CEMAC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Afrique centrale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Afrique de l'Ouest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International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Confidentiel</w:t>
      </w:r>
    </w:p>
    <w:p>
      <w:r>
        <w:rPr>
          <w:b/>
          <w:color w:val="333333"/>
          <w:sz w:val="22"/>
        </w:rPr>
        <w:t xml:space="preserve">Durée estimée de la mission : 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Courte (&lt; 2 semaines)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Moyenne (2–8 semaines)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Longue (2–6 mois)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Mission permanente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À définir</w:t>
      </w:r>
    </w:p>
    <w:p>
      <w:r>
        <w:rPr>
          <w:b/>
          <w:color w:val="333333"/>
          <w:sz w:val="22"/>
        </w:rPr>
        <w:t xml:space="preserve">Niveau de confidentialité requis : 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Standard commercial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Confidentiel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Secret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Secret défense</w:t>
      </w:r>
    </w:p>
    <w:p>
      <w:r>
        <w:rPr>
          <w:b/>
          <w:color w:val="333333"/>
          <w:sz w:val="22"/>
        </w:rPr>
        <w:t xml:space="preserve">Profil des cibles / périmètre : </w:t>
      </w:r>
    </w:p>
    <w:p>
      <w:pPr>
        <w:spacing w:after="0"/>
      </w:pPr>
      <w:r>
        <w:rPr>
          <w:sz w:val="22"/>
        </w:rPr>
        <w:t>______________________________________________________________________</w:t>
      </w:r>
    </w:p>
    <w:p>
      <w:pPr>
        <w:spacing w:after="0"/>
      </w:pPr>
      <w:r>
        <w:rPr>
          <w:sz w:val="22"/>
        </w:rPr>
        <w:t>______________________________________________________________________</w:t>
      </w:r>
    </w:p>
    <w:p>
      <w:pPr>
        <w:spacing w:after="0"/>
      </w:pPr>
      <w:r>
        <w:rPr>
          <w:sz w:val="22"/>
        </w:rPr>
        <w:t>______________________________________________________________________</w:t>
      </w:r>
    </w:p>
    <w:p>
      <w:pPr>
        <w:spacing w:after="0"/>
      </w:pPr>
      <w:r>
        <w:rPr>
          <w:sz w:val="22"/>
        </w:rPr>
        <w:t>______________________________________________________________________</w:t>
      </w:r>
    </w:p>
    <w:p>
      <w:r>
        <w:rPr>
          <w:b/>
          <w:color w:val="333333"/>
          <w:sz w:val="22"/>
        </w:rPr>
        <w:t xml:space="preserve">Capacités attendues (cochez autant que nécessaire) : 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Intrusion physique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Intrusion numérique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Ingénierie sociale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Surveillance numérique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Filature numérique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Capture de terminal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Analyse forensic avancée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Rédaction rapport judiciaire</w:t>
      </w:r>
    </w:p>
    <w:p>
      <w:r>
        <w:rPr>
          <w:b/>
          <w:color w:val="333333"/>
          <w:sz w:val="22"/>
        </w:rPr>
        <w:t xml:space="preserve">Cadre juridique : 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Mandat judiciaire en cours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Accord écrit de la direction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Marché public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Contrat commercial classique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À cadrer avec ENIX</w:t>
      </w:r>
    </w:p>
    <w:p>
      <w:pPr>
        <w:spacing w:before="240" w:after="80"/>
      </w:pPr>
      <w:r>
        <w:rPr>
          <w:b/>
          <w:color w:val="0B4D92"/>
          <w:sz w:val="36"/>
        </w:rPr>
        <w:t>3. Budget &amp; calendrier</w:t>
      </w:r>
    </w:p>
    <w:p>
      <w:r>
        <w:rPr>
          <w:b/>
          <w:color w:val="333333"/>
          <w:sz w:val="22"/>
        </w:rPr>
        <w:t xml:space="preserve">Budget estimé : 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Moins de 500 000 FCFA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500 000 – 2 000 000 FCFA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2 000 000 – 10 000 000 FCFA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10 000 000 – 50 000 000 FCFA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Plus de 50 000 000 FCFA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À chiffrer ensemble</w:t>
      </w:r>
    </w:p>
    <w:p>
      <w:r>
        <w:rPr>
          <w:b/>
          <w:color w:val="333333"/>
          <w:sz w:val="22"/>
        </w:rPr>
        <w:t xml:space="preserve">Délai souhaité : 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Urgent (&lt; 2 semaines)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Court terme (2–8 semaines)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Moyen terme (2–6 mois)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Long terme (&gt; 6 mois)</w:t>
      </w:r>
    </w:p>
    <w:p>
      <w:r>
        <w:rPr>
          <w:b/>
          <w:color w:val="333333"/>
          <w:sz w:val="22"/>
        </w:rPr>
        <w:t xml:space="preserve">Mode d'achat envisagé : 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Achat direct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Abonnement / souscription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Location / leasing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Appel d'offres public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À discuter</w:t>
      </w:r>
    </w:p>
    <w:p>
      <w:pPr>
        <w:spacing w:before="240" w:after="80"/>
      </w:pPr>
      <w:r>
        <w:rPr>
          <w:b/>
          <w:color w:val="0B4D92"/>
          <w:sz w:val="36"/>
        </w:rPr>
        <w:t>4. Précisions libres</w:t>
      </w:r>
    </w:p>
    <w:p>
      <w:r>
        <w:rPr>
          <w:b/>
          <w:color w:val="333333"/>
          <w:sz w:val="22"/>
        </w:rPr>
        <w:t xml:space="preserve">Contexte, contraintes, informations utiles : </w:t>
      </w:r>
    </w:p>
    <w:p>
      <w:pPr>
        <w:spacing w:after="0"/>
      </w:pPr>
      <w:r>
        <w:rPr>
          <w:sz w:val="22"/>
        </w:rPr>
        <w:t>______________________________________________________________________</w:t>
      </w:r>
    </w:p>
    <w:p>
      <w:pPr>
        <w:spacing w:after="0"/>
      </w:pPr>
      <w:r>
        <w:rPr>
          <w:sz w:val="22"/>
        </w:rPr>
        <w:t>______________________________________________________________________</w:t>
      </w:r>
    </w:p>
    <w:p>
      <w:pPr>
        <w:spacing w:after="0"/>
      </w:pPr>
      <w:r>
        <w:rPr>
          <w:sz w:val="22"/>
        </w:rPr>
        <w:t>______________________________________________________________________</w:t>
      </w:r>
    </w:p>
    <w:p>
      <w:pPr>
        <w:spacing w:after="0"/>
      </w:pPr>
      <w:r>
        <w:rPr>
          <w:sz w:val="22"/>
        </w:rPr>
        <w:t>______________________________________________________________________</w:t>
      </w:r>
    </w:p>
    <w:p>
      <w:pPr>
        <w:spacing w:before="240" w:after="80"/>
      </w:pPr>
      <w:r>
        <w:rPr>
          <w:b/>
          <w:color w:val="0B4D92"/>
          <w:sz w:val="36"/>
        </w:rPr>
        <w:t>5. Consentement</w:t>
      </w:r>
    </w:p>
    <w:p>
      <w:r>
        <w:rPr>
          <w:sz w:val="22"/>
        </w:rPr>
        <w:t xml:space="preserve">☐ </w:t>
      </w:r>
      <w:r>
        <w:rPr>
          <w:sz w:val="20"/>
        </w:rPr>
        <w:t>J'autorise ENIX SARL à traiter les informations fournies dans le cadre de ma demande, conformément à la loi camerounaise n° 2024/017 du 23 décembre 2024 relative à la protection des données à caractère personnel.</w:t>
      </w:r>
    </w:p>
    <w:p/>
    <w:p>
      <w:pPr>
        <w:jc w:val="center"/>
      </w:pPr>
      <w:r>
        <w:rPr>
          <w:color w:val="6C90B5"/>
          <w:sz w:val="18"/>
        </w:rPr>
        <w:t>ENIX SARL · Yaoundé – Douala – Cameroun · sales@enix.cm · +237 6 78 10 64 64 · www.enixcompany.com</w:t>
      </w:r>
    </w:p>
    <w:p>
      <w:pPr>
        <w:jc w:val="center"/>
      </w:pPr>
      <w:r>
        <w:rPr>
          <w:i/>
          <w:color w:val="6C90B5"/>
          <w:sz w:val="16"/>
        </w:rPr>
        <w:t>Ce formulaire, une fois rempli, peut être envoyé par email à sales@enix.cm. Vos données sont traitées conformément à la loi 2024/017.</w:t>
      </w:r>
    </w:p>
    <w:sectPr w:rsidR="00FC693F" w:rsidRPr="0006063C" w:rsidSect="00034616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