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color w:val="0B4D92"/>
          <w:sz w:val="40"/>
        </w:rPr>
        <w:t>ENIX SARL</w:t>
      </w:r>
    </w:p>
    <w:p>
      <w:pPr>
        <w:jc w:val="center"/>
      </w:pPr>
      <w:r>
        <w:rPr>
          <w:color w:val="6C90B5"/>
          <w:sz w:val="28"/>
        </w:rPr>
        <w:t>Rapid7 — Devis InsightVM / InsightIDR</w:t>
      </w:r>
    </w:p>
    <w:p>
      <w:pPr>
        <w:jc w:val="center"/>
      </w:pPr>
      <w:r>
        <w:rPr>
          <w:i/>
        </w:rPr>
        <w:t>Partenaire Rapid7 au Cameroun — vulnérabilité (InsightVM), détection/réponse (InsightIDR), IAM, AppSec.</w:t>
      </w:r>
    </w:p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9972"/>
      </w:tblGrid>
      <w:tr>
        <w:tc>
          <w:tcPr>
            <w:tcW w:type="dxa" w:w="9972"/>
            <w:shd w:val="clear" w:color="auto" w:fill="EAF2FB"/>
          </w:tcPr>
          <w:p>
            <w:r>
              <w:rPr>
                <w:b/>
              </w:rPr>
              <w:t xml:space="preserve">ℹ </w:t>
            </w:r>
            <w:r>
              <w:rPr>
                <w:sz w:val="20"/>
              </w:rPr>
              <w:t>ENIX distribue et exploite les solutions Rapid7 : InsightVM (gestion de vulnérabilités), InsightIDR (SIEM/XDR), InsightAppSec (sécurité applicative) et InsightCloudSec. Intégration directe au SOC ENIX possible.</w:t>
            </w:r>
          </w:p>
        </w:tc>
      </w:tr>
    </w:tbl>
    <w:p/>
    <w:p>
      <w:pPr>
        <w:spacing w:before="240" w:after="80"/>
      </w:pPr>
      <w:r>
        <w:rPr>
          <w:b/>
          <w:color w:val="0B4D92"/>
          <w:sz w:val="36"/>
        </w:rPr>
        <w:t>1. Identité de l'organisation</w:t>
      </w:r>
    </w:p>
    <w:p>
      <w:r>
        <w:rPr>
          <w:b/>
          <w:color w:val="333333"/>
          <w:sz w:val="22"/>
        </w:rPr>
        <w:t xml:space="preserve">Nom de l'organisme : </w:t>
      </w:r>
    </w:p>
    <w:p>
      <w:pPr>
        <w:spacing w:after="0"/>
      </w:pPr>
      <w:r>
        <w:rPr>
          <w:sz w:val="22"/>
        </w:rPr>
        <w:t>______________________________________________________________________</w:t>
      </w:r>
    </w:p>
    <w:p>
      <w:r>
        <w:rPr>
          <w:b/>
          <w:color w:val="333333"/>
          <w:sz w:val="22"/>
        </w:rPr>
        <w:t xml:space="preserve">Personne de contact : </w:t>
      </w:r>
    </w:p>
    <w:p>
      <w:pPr>
        <w:spacing w:after="0"/>
      </w:pPr>
      <w:r>
        <w:rPr>
          <w:sz w:val="22"/>
        </w:rPr>
        <w:t>______________________________________________________________________</w:t>
      </w:r>
    </w:p>
    <w:p>
      <w:r>
        <w:rPr>
          <w:b/>
          <w:color w:val="333333"/>
          <w:sz w:val="22"/>
        </w:rPr>
        <w:t xml:space="preserve">Fonction / Rôle : </w:t>
      </w:r>
    </w:p>
    <w:p>
      <w:pPr>
        <w:spacing w:after="0"/>
      </w:pPr>
      <w:r>
        <w:rPr>
          <w:sz w:val="22"/>
        </w:rPr>
        <w:t>______________________________________________________________________</w:t>
      </w:r>
    </w:p>
    <w:p>
      <w:r>
        <w:rPr>
          <w:b/>
          <w:color w:val="333333"/>
          <w:sz w:val="22"/>
        </w:rPr>
        <w:t xml:space="preserve">Email professionnel : </w:t>
      </w:r>
    </w:p>
    <w:p>
      <w:pPr>
        <w:spacing w:after="0"/>
      </w:pPr>
      <w:r>
        <w:rPr>
          <w:sz w:val="22"/>
        </w:rPr>
        <w:t>______________________________________________________________________</w:t>
      </w:r>
    </w:p>
    <w:p>
      <w:r>
        <w:rPr>
          <w:b/>
          <w:color w:val="333333"/>
          <w:sz w:val="22"/>
        </w:rPr>
        <w:t xml:space="preserve">Téléphone : </w:t>
      </w:r>
    </w:p>
    <w:p>
      <w:pPr>
        <w:spacing w:after="0"/>
      </w:pPr>
      <w:r>
        <w:rPr>
          <w:sz w:val="22"/>
        </w:rPr>
        <w:t>______________________________________________________________________</w:t>
      </w:r>
    </w:p>
    <w:p>
      <w:r>
        <w:rPr>
          <w:b/>
          <w:color w:val="333333"/>
          <w:sz w:val="22"/>
        </w:rPr>
        <w:t xml:space="preserve">Site web / LinkedIn : </w:t>
      </w:r>
    </w:p>
    <w:p>
      <w:pPr>
        <w:spacing w:after="0"/>
      </w:pPr>
      <w:r>
        <w:rPr>
          <w:sz w:val="22"/>
        </w:rPr>
        <w:t>______________________________________________________________________</w:t>
      </w:r>
    </w:p>
    <w:p>
      <w:r>
        <w:rPr>
          <w:b/>
          <w:color w:val="333333"/>
          <w:sz w:val="22"/>
        </w:rPr>
        <w:t xml:space="preserve">Ville : </w:t>
      </w:r>
    </w:p>
    <w:p>
      <w:pPr>
        <w:spacing w:after="0"/>
      </w:pPr>
      <w:r>
        <w:rPr>
          <w:sz w:val="22"/>
        </w:rPr>
        <w:t>______________________________________________________________________</w:t>
      </w:r>
    </w:p>
    <w:p>
      <w:r>
        <w:rPr>
          <w:b/>
          <w:color w:val="333333"/>
          <w:sz w:val="22"/>
        </w:rPr>
        <w:t xml:space="preserve">Pays (Cameroun par défaut) : </w:t>
      </w:r>
    </w:p>
    <w:p>
      <w:pPr>
        <w:spacing w:after="0"/>
      </w:pPr>
      <w:r>
        <w:rPr>
          <w:sz w:val="22"/>
        </w:rPr>
        <w:t>______________________________________________________________________</w:t>
      </w:r>
    </w:p>
    <w:p>
      <w:pPr>
        <w:spacing w:before="240" w:after="80"/>
      </w:pPr>
      <w:r>
        <w:rPr>
          <w:b/>
          <w:color w:val="0B4D92"/>
          <w:sz w:val="36"/>
        </w:rPr>
        <w:t>2. Détails du besoin</w:t>
      </w:r>
    </w:p>
    <w:p>
      <w:r>
        <w:rPr>
          <w:b/>
          <w:color w:val="333333"/>
          <w:sz w:val="22"/>
        </w:rPr>
        <w:t xml:space="preserve">Produit Rapid7 souhaité : </w:t>
      </w:r>
    </w:p>
    <w:p>
      <w:pPr>
        <w:pStyle w:val="ListBullet"/>
      </w:pPr>
      <w:r>
        <w:rPr>
          <w:sz w:val="22"/>
        </w:rPr>
        <w:t xml:space="preserve">☐ </w:t>
      </w:r>
      <w:r>
        <w:rPr>
          <w:sz w:val="22"/>
        </w:rPr>
        <w:t>InsightVM (vulnerability management)</w:t>
      </w:r>
    </w:p>
    <w:p>
      <w:pPr>
        <w:pStyle w:val="ListBullet"/>
      </w:pPr>
      <w:r>
        <w:rPr>
          <w:sz w:val="22"/>
        </w:rPr>
        <w:t xml:space="preserve">☐ </w:t>
      </w:r>
      <w:r>
        <w:rPr>
          <w:sz w:val="22"/>
        </w:rPr>
        <w:t>InsightIDR (SIEM / XDR)</w:t>
      </w:r>
    </w:p>
    <w:p>
      <w:pPr>
        <w:pStyle w:val="ListBullet"/>
      </w:pPr>
      <w:r>
        <w:rPr>
          <w:sz w:val="22"/>
        </w:rPr>
        <w:t xml:space="preserve">☐ </w:t>
      </w:r>
      <w:r>
        <w:rPr>
          <w:sz w:val="22"/>
        </w:rPr>
        <w:t>InsightAppSec (DAST)</w:t>
      </w:r>
    </w:p>
    <w:p>
      <w:pPr>
        <w:pStyle w:val="ListBullet"/>
      </w:pPr>
      <w:r>
        <w:rPr>
          <w:sz w:val="22"/>
        </w:rPr>
        <w:t xml:space="preserve">☐ </w:t>
      </w:r>
      <w:r>
        <w:rPr>
          <w:sz w:val="22"/>
        </w:rPr>
        <w:t>InsightCloudSec (CNAPP)</w:t>
      </w:r>
    </w:p>
    <w:p>
      <w:pPr>
        <w:pStyle w:val="ListBullet"/>
      </w:pPr>
      <w:r>
        <w:rPr>
          <w:sz w:val="22"/>
        </w:rPr>
        <w:t xml:space="preserve">☐ </w:t>
      </w:r>
      <w:r>
        <w:rPr>
          <w:sz w:val="22"/>
        </w:rPr>
        <w:t>InsightConnect (SOAR)</w:t>
      </w:r>
    </w:p>
    <w:p>
      <w:pPr>
        <w:pStyle w:val="ListBullet"/>
      </w:pPr>
      <w:r>
        <w:rPr>
          <w:sz w:val="22"/>
        </w:rPr>
        <w:t xml:space="preserve">☐ </w:t>
      </w:r>
      <w:r>
        <w:rPr>
          <w:sz w:val="22"/>
        </w:rPr>
        <w:t>Threat Command (CTI)</w:t>
      </w:r>
    </w:p>
    <w:p>
      <w:pPr>
        <w:pStyle w:val="ListBullet"/>
      </w:pPr>
      <w:r>
        <w:rPr>
          <w:sz w:val="22"/>
        </w:rPr>
        <w:t xml:space="preserve">☐ </w:t>
      </w:r>
      <w:r>
        <w:rPr>
          <w:sz w:val="22"/>
        </w:rPr>
        <w:t>MDR Rapid7 + ENIX</w:t>
      </w:r>
    </w:p>
    <w:p>
      <w:pPr>
        <w:pStyle w:val="ListBullet"/>
      </w:pPr>
      <w:r>
        <w:rPr>
          <w:sz w:val="22"/>
        </w:rPr>
        <w:t xml:space="preserve">☐ </w:t>
      </w:r>
      <w:r>
        <w:rPr>
          <w:sz w:val="22"/>
        </w:rPr>
        <w:t>Metasploit Pro</w:t>
      </w:r>
    </w:p>
    <w:p>
      <w:pPr>
        <w:pStyle w:val="ListBullet"/>
      </w:pPr>
      <w:r>
        <w:rPr>
          <w:sz w:val="22"/>
        </w:rPr>
        <w:t xml:space="preserve">☐ </w:t>
      </w:r>
      <w:r>
        <w:rPr>
          <w:sz w:val="22"/>
        </w:rPr>
        <w:t>À conseiller</w:t>
      </w:r>
    </w:p>
    <w:p>
      <w:r>
        <w:rPr>
          <w:b/>
          <w:color w:val="333333"/>
          <w:sz w:val="22"/>
        </w:rPr>
        <w:t xml:space="preserve">Nombre d'actifs / assets à scanner : </w:t>
      </w:r>
    </w:p>
    <w:p>
      <w:pPr>
        <w:pStyle w:val="ListBullet"/>
      </w:pPr>
      <w:r>
        <w:rPr>
          <w:sz w:val="22"/>
        </w:rPr>
        <w:t xml:space="preserve">☐ </w:t>
      </w:r>
      <w:r>
        <w:rPr>
          <w:sz w:val="22"/>
        </w:rPr>
        <w:t>1 à 100</w:t>
      </w:r>
    </w:p>
    <w:p>
      <w:pPr>
        <w:pStyle w:val="ListBullet"/>
      </w:pPr>
      <w:r>
        <w:rPr>
          <w:sz w:val="22"/>
        </w:rPr>
        <w:t xml:space="preserve">☐ </w:t>
      </w:r>
      <w:r>
        <w:rPr>
          <w:sz w:val="22"/>
        </w:rPr>
        <w:t>100 à 500</w:t>
      </w:r>
    </w:p>
    <w:p>
      <w:pPr>
        <w:pStyle w:val="ListBullet"/>
      </w:pPr>
      <w:r>
        <w:rPr>
          <w:sz w:val="22"/>
        </w:rPr>
        <w:t xml:space="preserve">☐ </w:t>
      </w:r>
      <w:r>
        <w:rPr>
          <w:sz w:val="22"/>
        </w:rPr>
        <w:t>500 à 2000</w:t>
      </w:r>
    </w:p>
    <w:p>
      <w:pPr>
        <w:pStyle w:val="ListBullet"/>
      </w:pPr>
      <w:r>
        <w:rPr>
          <w:sz w:val="22"/>
        </w:rPr>
        <w:t xml:space="preserve">☐ </w:t>
      </w:r>
      <w:r>
        <w:rPr>
          <w:sz w:val="22"/>
        </w:rPr>
        <w:t>2000 à 10000</w:t>
      </w:r>
    </w:p>
    <w:p>
      <w:pPr>
        <w:pStyle w:val="ListBullet"/>
      </w:pPr>
      <w:r>
        <w:rPr>
          <w:sz w:val="22"/>
        </w:rPr>
        <w:t xml:space="preserve">☐ </w:t>
      </w:r>
      <w:r>
        <w:rPr>
          <w:sz w:val="22"/>
        </w:rPr>
        <w:t>Plus de 10000</w:t>
      </w:r>
    </w:p>
    <w:p>
      <w:r>
        <w:rPr>
          <w:b/>
          <w:color w:val="333333"/>
          <w:sz w:val="22"/>
        </w:rPr>
        <w:t xml:space="preserve">Déploiement souhaité : </w:t>
      </w:r>
    </w:p>
    <w:p>
      <w:pPr>
        <w:pStyle w:val="ListBullet"/>
      </w:pPr>
      <w:r>
        <w:rPr>
          <w:sz w:val="22"/>
        </w:rPr>
        <w:t xml:space="preserve">☐ </w:t>
      </w:r>
      <w:r>
        <w:rPr>
          <w:sz w:val="22"/>
        </w:rPr>
        <w:t>SaaS (cloud Rapid7)</w:t>
      </w:r>
    </w:p>
    <w:p>
      <w:pPr>
        <w:pStyle w:val="ListBullet"/>
      </w:pPr>
      <w:r>
        <w:rPr>
          <w:sz w:val="22"/>
        </w:rPr>
        <w:t xml:space="preserve">☐ </w:t>
      </w:r>
      <w:r>
        <w:rPr>
          <w:sz w:val="22"/>
        </w:rPr>
        <w:t>On-premise / hybride</w:t>
      </w:r>
    </w:p>
    <w:p>
      <w:pPr>
        <w:pStyle w:val="ListBullet"/>
      </w:pPr>
      <w:r>
        <w:rPr>
          <w:sz w:val="22"/>
        </w:rPr>
        <w:t xml:space="preserve">☐ </w:t>
      </w:r>
      <w:r>
        <w:rPr>
          <w:sz w:val="22"/>
        </w:rPr>
        <w:t>Appliance virtuelle</w:t>
      </w:r>
    </w:p>
    <w:p>
      <w:pPr>
        <w:pStyle w:val="ListBullet"/>
      </w:pPr>
      <w:r>
        <w:rPr>
          <w:sz w:val="22"/>
        </w:rPr>
        <w:t xml:space="preserve">☐ </w:t>
      </w:r>
      <w:r>
        <w:rPr>
          <w:sz w:val="22"/>
        </w:rPr>
        <w:t>À conseiller</w:t>
      </w:r>
    </w:p>
    <w:p>
      <w:r>
        <w:rPr>
          <w:b/>
          <w:color w:val="333333"/>
          <w:sz w:val="22"/>
        </w:rPr>
        <w:t xml:space="preserve">Intégrations attendues (cochez autant que nécessaire) : </w:t>
      </w:r>
    </w:p>
    <w:p>
      <w:pPr>
        <w:pStyle w:val="ListBullet"/>
      </w:pPr>
      <w:r>
        <w:rPr>
          <w:sz w:val="22"/>
        </w:rPr>
        <w:t xml:space="preserve">☐ </w:t>
      </w:r>
      <w:r>
        <w:rPr>
          <w:sz w:val="22"/>
        </w:rPr>
        <w:t>Active Directory / Azure AD</w:t>
      </w:r>
    </w:p>
    <w:p>
      <w:pPr>
        <w:pStyle w:val="ListBullet"/>
      </w:pPr>
      <w:r>
        <w:rPr>
          <w:sz w:val="22"/>
        </w:rPr>
        <w:t xml:space="preserve">☐ </w:t>
      </w:r>
      <w:r>
        <w:rPr>
          <w:sz w:val="22"/>
        </w:rPr>
        <w:t>ServiceNow / Jira</w:t>
      </w:r>
    </w:p>
    <w:p>
      <w:pPr>
        <w:pStyle w:val="ListBullet"/>
      </w:pPr>
      <w:r>
        <w:rPr>
          <w:sz w:val="22"/>
        </w:rPr>
        <w:t xml:space="preserve">☐ </w:t>
      </w:r>
      <w:r>
        <w:rPr>
          <w:sz w:val="22"/>
        </w:rPr>
        <w:t>Splunk / QRadar / Sentinel</w:t>
      </w:r>
    </w:p>
    <w:p>
      <w:pPr>
        <w:pStyle w:val="ListBullet"/>
      </w:pPr>
      <w:r>
        <w:rPr>
          <w:sz w:val="22"/>
        </w:rPr>
        <w:t xml:space="preserve">☐ </w:t>
      </w:r>
      <w:r>
        <w:rPr>
          <w:sz w:val="22"/>
        </w:rPr>
        <w:t>Bitdefender / Kaspersky / CrowdStrike</w:t>
      </w:r>
    </w:p>
    <w:p>
      <w:pPr>
        <w:pStyle w:val="ListBullet"/>
      </w:pPr>
      <w:r>
        <w:rPr>
          <w:sz w:val="22"/>
        </w:rPr>
        <w:t xml:space="preserve">☐ </w:t>
      </w:r>
      <w:r>
        <w:rPr>
          <w:sz w:val="22"/>
        </w:rPr>
        <w:t>Cloud AWS / Azure / GCP</w:t>
      </w:r>
    </w:p>
    <w:p>
      <w:pPr>
        <w:pStyle w:val="ListBullet"/>
      </w:pPr>
      <w:r>
        <w:rPr>
          <w:sz w:val="22"/>
        </w:rPr>
        <w:t xml:space="preserve">☐ </w:t>
      </w:r>
      <w:r>
        <w:rPr>
          <w:sz w:val="22"/>
        </w:rPr>
        <w:t>SOC ENIX</w:t>
      </w:r>
    </w:p>
    <w:p>
      <w:r>
        <w:rPr>
          <w:b/>
          <w:color w:val="333333"/>
          <w:sz w:val="22"/>
        </w:rPr>
        <w:t xml:space="preserve">Services associés (cochez autant que nécessaire) : </w:t>
      </w:r>
    </w:p>
    <w:p>
      <w:pPr>
        <w:pStyle w:val="ListBullet"/>
      </w:pPr>
      <w:r>
        <w:rPr>
          <w:sz w:val="22"/>
        </w:rPr>
        <w:t xml:space="preserve">☐ </w:t>
      </w:r>
      <w:r>
        <w:rPr>
          <w:sz w:val="22"/>
        </w:rPr>
        <w:t>Déploiement initial</w:t>
      </w:r>
    </w:p>
    <w:p>
      <w:pPr>
        <w:pStyle w:val="ListBullet"/>
      </w:pPr>
      <w:r>
        <w:rPr>
          <w:sz w:val="22"/>
        </w:rPr>
        <w:t xml:space="preserve">☐ </w:t>
      </w:r>
      <w:r>
        <w:rPr>
          <w:sz w:val="22"/>
        </w:rPr>
        <w:t>Tuning / optimisation règles</w:t>
      </w:r>
    </w:p>
    <w:p>
      <w:pPr>
        <w:pStyle w:val="ListBullet"/>
      </w:pPr>
      <w:r>
        <w:rPr>
          <w:sz w:val="22"/>
        </w:rPr>
        <w:t xml:space="preserve">☐ </w:t>
      </w:r>
      <w:r>
        <w:rPr>
          <w:sz w:val="22"/>
        </w:rPr>
        <w:t>Exploitation managée (MDR)</w:t>
      </w:r>
    </w:p>
    <w:p>
      <w:pPr>
        <w:pStyle w:val="ListBullet"/>
      </w:pPr>
      <w:r>
        <w:rPr>
          <w:sz w:val="22"/>
        </w:rPr>
        <w:t xml:space="preserve">☐ </w:t>
      </w:r>
      <w:r>
        <w:rPr>
          <w:sz w:val="22"/>
        </w:rPr>
        <w:t>Formation administrateurs</w:t>
      </w:r>
    </w:p>
    <w:p>
      <w:pPr>
        <w:pStyle w:val="ListBullet"/>
      </w:pPr>
      <w:r>
        <w:rPr>
          <w:sz w:val="22"/>
        </w:rPr>
        <w:t xml:space="preserve">☐ </w:t>
      </w:r>
      <w:r>
        <w:rPr>
          <w:sz w:val="22"/>
        </w:rPr>
        <w:t>Audit annuel</w:t>
      </w:r>
    </w:p>
    <w:p>
      <w:pPr>
        <w:pStyle w:val="ListBullet"/>
      </w:pPr>
      <w:r>
        <w:rPr>
          <w:sz w:val="22"/>
        </w:rPr>
        <w:t xml:space="preserve">☐ </w:t>
      </w:r>
      <w:r>
        <w:rPr>
          <w:sz w:val="22"/>
        </w:rPr>
        <w:t>Support 24/7</w:t>
      </w:r>
    </w:p>
    <w:p>
      <w:r>
        <w:rPr>
          <w:b/>
          <w:color w:val="333333"/>
          <w:sz w:val="22"/>
        </w:rPr>
        <w:t xml:space="preserve">Durée souscription : </w:t>
      </w:r>
    </w:p>
    <w:p>
      <w:pPr>
        <w:pStyle w:val="ListBullet"/>
      </w:pPr>
      <w:r>
        <w:rPr>
          <w:sz w:val="22"/>
        </w:rPr>
        <w:t xml:space="preserve">☐ </w:t>
      </w:r>
      <w:r>
        <w:rPr>
          <w:sz w:val="22"/>
        </w:rPr>
        <w:t>1 an</w:t>
      </w:r>
    </w:p>
    <w:p>
      <w:pPr>
        <w:pStyle w:val="ListBullet"/>
      </w:pPr>
      <w:r>
        <w:rPr>
          <w:sz w:val="22"/>
        </w:rPr>
        <w:t xml:space="preserve">☐ </w:t>
      </w:r>
      <w:r>
        <w:rPr>
          <w:sz w:val="22"/>
        </w:rPr>
        <w:t>2 ans</w:t>
      </w:r>
    </w:p>
    <w:p>
      <w:pPr>
        <w:pStyle w:val="ListBullet"/>
      </w:pPr>
      <w:r>
        <w:rPr>
          <w:sz w:val="22"/>
        </w:rPr>
        <w:t xml:space="preserve">☐ </w:t>
      </w:r>
      <w:r>
        <w:rPr>
          <w:sz w:val="22"/>
        </w:rPr>
        <w:t>3 ans</w:t>
      </w:r>
    </w:p>
    <w:p>
      <w:pPr>
        <w:pStyle w:val="ListBullet"/>
      </w:pPr>
      <w:r>
        <w:rPr>
          <w:sz w:val="22"/>
        </w:rPr>
        <w:t xml:space="preserve">☐ </w:t>
      </w:r>
      <w:r>
        <w:rPr>
          <w:sz w:val="22"/>
        </w:rPr>
        <w:t>À conseiller</w:t>
      </w:r>
    </w:p>
    <w:p>
      <w:pPr>
        <w:spacing w:before="240" w:after="80"/>
      </w:pPr>
      <w:r>
        <w:rPr>
          <w:b/>
          <w:color w:val="0B4D92"/>
          <w:sz w:val="36"/>
        </w:rPr>
        <w:t>3. Budget &amp; calendrier</w:t>
      </w:r>
    </w:p>
    <w:p>
      <w:r>
        <w:rPr>
          <w:b/>
          <w:color w:val="333333"/>
          <w:sz w:val="22"/>
        </w:rPr>
        <w:t xml:space="preserve">Budget estimé : </w:t>
      </w:r>
    </w:p>
    <w:p>
      <w:pPr>
        <w:pStyle w:val="ListBullet"/>
      </w:pPr>
      <w:r>
        <w:rPr>
          <w:sz w:val="22"/>
        </w:rPr>
        <w:t xml:space="preserve">☐ </w:t>
      </w:r>
      <w:r>
        <w:rPr>
          <w:sz w:val="22"/>
        </w:rPr>
        <w:t>Moins de 500 000 FCFA</w:t>
      </w:r>
    </w:p>
    <w:p>
      <w:pPr>
        <w:pStyle w:val="ListBullet"/>
      </w:pPr>
      <w:r>
        <w:rPr>
          <w:sz w:val="22"/>
        </w:rPr>
        <w:t xml:space="preserve">☐ </w:t>
      </w:r>
      <w:r>
        <w:rPr>
          <w:sz w:val="22"/>
        </w:rPr>
        <w:t>500 000 – 2 000 000 FCFA</w:t>
      </w:r>
    </w:p>
    <w:p>
      <w:pPr>
        <w:pStyle w:val="ListBullet"/>
      </w:pPr>
      <w:r>
        <w:rPr>
          <w:sz w:val="22"/>
        </w:rPr>
        <w:t xml:space="preserve">☐ </w:t>
      </w:r>
      <w:r>
        <w:rPr>
          <w:sz w:val="22"/>
        </w:rPr>
        <w:t>2 000 000 – 10 000 000 FCFA</w:t>
      </w:r>
    </w:p>
    <w:p>
      <w:pPr>
        <w:pStyle w:val="ListBullet"/>
      </w:pPr>
      <w:r>
        <w:rPr>
          <w:sz w:val="22"/>
        </w:rPr>
        <w:t xml:space="preserve">☐ </w:t>
      </w:r>
      <w:r>
        <w:rPr>
          <w:sz w:val="22"/>
        </w:rPr>
        <w:t>10 000 000 – 50 000 000 FCFA</w:t>
      </w:r>
    </w:p>
    <w:p>
      <w:pPr>
        <w:pStyle w:val="ListBullet"/>
      </w:pPr>
      <w:r>
        <w:rPr>
          <w:sz w:val="22"/>
        </w:rPr>
        <w:t xml:space="preserve">☐ </w:t>
      </w:r>
      <w:r>
        <w:rPr>
          <w:sz w:val="22"/>
        </w:rPr>
        <w:t>Plus de 50 000 000 FCFA</w:t>
      </w:r>
    </w:p>
    <w:p>
      <w:pPr>
        <w:pStyle w:val="ListBullet"/>
      </w:pPr>
      <w:r>
        <w:rPr>
          <w:sz w:val="22"/>
        </w:rPr>
        <w:t xml:space="preserve">☐ </w:t>
      </w:r>
      <w:r>
        <w:rPr>
          <w:sz w:val="22"/>
        </w:rPr>
        <w:t>À chiffrer ensemble</w:t>
      </w:r>
    </w:p>
    <w:p>
      <w:r>
        <w:rPr>
          <w:b/>
          <w:color w:val="333333"/>
          <w:sz w:val="22"/>
        </w:rPr>
        <w:t xml:space="preserve">Délai souhaité : </w:t>
      </w:r>
    </w:p>
    <w:p>
      <w:pPr>
        <w:pStyle w:val="ListBullet"/>
      </w:pPr>
      <w:r>
        <w:rPr>
          <w:sz w:val="22"/>
        </w:rPr>
        <w:t xml:space="preserve">☐ </w:t>
      </w:r>
      <w:r>
        <w:rPr>
          <w:sz w:val="22"/>
        </w:rPr>
        <w:t>Urgent (&lt; 2 semaines)</w:t>
      </w:r>
    </w:p>
    <w:p>
      <w:pPr>
        <w:pStyle w:val="ListBullet"/>
      </w:pPr>
      <w:r>
        <w:rPr>
          <w:sz w:val="22"/>
        </w:rPr>
        <w:t xml:space="preserve">☐ </w:t>
      </w:r>
      <w:r>
        <w:rPr>
          <w:sz w:val="22"/>
        </w:rPr>
        <w:t>Court terme (2–8 semaines)</w:t>
      </w:r>
    </w:p>
    <w:p>
      <w:pPr>
        <w:pStyle w:val="ListBullet"/>
      </w:pPr>
      <w:r>
        <w:rPr>
          <w:sz w:val="22"/>
        </w:rPr>
        <w:t xml:space="preserve">☐ </w:t>
      </w:r>
      <w:r>
        <w:rPr>
          <w:sz w:val="22"/>
        </w:rPr>
        <w:t>Moyen terme (2–6 mois)</w:t>
      </w:r>
    </w:p>
    <w:p>
      <w:pPr>
        <w:pStyle w:val="ListBullet"/>
      </w:pPr>
      <w:r>
        <w:rPr>
          <w:sz w:val="22"/>
        </w:rPr>
        <w:t xml:space="preserve">☐ </w:t>
      </w:r>
      <w:r>
        <w:rPr>
          <w:sz w:val="22"/>
        </w:rPr>
        <w:t>Long terme (&gt; 6 mois)</w:t>
      </w:r>
    </w:p>
    <w:p>
      <w:r>
        <w:rPr>
          <w:b/>
          <w:color w:val="333333"/>
          <w:sz w:val="22"/>
        </w:rPr>
        <w:t xml:space="preserve">Mode d'achat envisagé : </w:t>
      </w:r>
    </w:p>
    <w:p>
      <w:pPr>
        <w:pStyle w:val="ListBullet"/>
      </w:pPr>
      <w:r>
        <w:rPr>
          <w:sz w:val="22"/>
        </w:rPr>
        <w:t xml:space="preserve">☐ </w:t>
      </w:r>
      <w:r>
        <w:rPr>
          <w:sz w:val="22"/>
        </w:rPr>
        <w:t>Achat direct</w:t>
      </w:r>
    </w:p>
    <w:p>
      <w:pPr>
        <w:pStyle w:val="ListBullet"/>
      </w:pPr>
      <w:r>
        <w:rPr>
          <w:sz w:val="22"/>
        </w:rPr>
        <w:t xml:space="preserve">☐ </w:t>
      </w:r>
      <w:r>
        <w:rPr>
          <w:sz w:val="22"/>
        </w:rPr>
        <w:t>Abonnement / souscription</w:t>
      </w:r>
    </w:p>
    <w:p>
      <w:pPr>
        <w:pStyle w:val="ListBullet"/>
      </w:pPr>
      <w:r>
        <w:rPr>
          <w:sz w:val="22"/>
        </w:rPr>
        <w:t xml:space="preserve">☐ </w:t>
      </w:r>
      <w:r>
        <w:rPr>
          <w:sz w:val="22"/>
        </w:rPr>
        <w:t>Location / leasing</w:t>
      </w:r>
    </w:p>
    <w:p>
      <w:pPr>
        <w:pStyle w:val="ListBullet"/>
      </w:pPr>
      <w:r>
        <w:rPr>
          <w:sz w:val="22"/>
        </w:rPr>
        <w:t xml:space="preserve">☐ </w:t>
      </w:r>
      <w:r>
        <w:rPr>
          <w:sz w:val="22"/>
        </w:rPr>
        <w:t>Appel d'offres public</w:t>
      </w:r>
    </w:p>
    <w:p>
      <w:pPr>
        <w:pStyle w:val="ListBullet"/>
      </w:pPr>
      <w:r>
        <w:rPr>
          <w:sz w:val="22"/>
        </w:rPr>
        <w:t xml:space="preserve">☐ </w:t>
      </w:r>
      <w:r>
        <w:rPr>
          <w:sz w:val="22"/>
        </w:rPr>
        <w:t>À discuter</w:t>
      </w:r>
    </w:p>
    <w:p>
      <w:pPr>
        <w:spacing w:before="240" w:after="80"/>
      </w:pPr>
      <w:r>
        <w:rPr>
          <w:b/>
          <w:color w:val="0B4D92"/>
          <w:sz w:val="36"/>
        </w:rPr>
        <w:t>4. Précisions libres</w:t>
      </w:r>
    </w:p>
    <w:p>
      <w:r>
        <w:rPr>
          <w:b/>
          <w:color w:val="333333"/>
          <w:sz w:val="22"/>
        </w:rPr>
        <w:t xml:space="preserve">Contexte, contraintes, informations utiles : </w:t>
      </w:r>
    </w:p>
    <w:p>
      <w:pPr>
        <w:spacing w:after="0"/>
      </w:pPr>
      <w:r>
        <w:rPr>
          <w:sz w:val="22"/>
        </w:rPr>
        <w:t>______________________________________________________________________</w:t>
      </w:r>
    </w:p>
    <w:p>
      <w:pPr>
        <w:spacing w:after="0"/>
      </w:pPr>
      <w:r>
        <w:rPr>
          <w:sz w:val="22"/>
        </w:rPr>
        <w:t>______________________________________________________________________</w:t>
      </w:r>
    </w:p>
    <w:p>
      <w:pPr>
        <w:spacing w:after="0"/>
      </w:pPr>
      <w:r>
        <w:rPr>
          <w:sz w:val="22"/>
        </w:rPr>
        <w:t>______________________________________________________________________</w:t>
      </w:r>
    </w:p>
    <w:p>
      <w:pPr>
        <w:spacing w:after="0"/>
      </w:pPr>
      <w:r>
        <w:rPr>
          <w:sz w:val="22"/>
        </w:rPr>
        <w:t>______________________________________________________________________</w:t>
      </w:r>
    </w:p>
    <w:p>
      <w:pPr>
        <w:spacing w:before="240" w:after="80"/>
      </w:pPr>
      <w:r>
        <w:rPr>
          <w:b/>
          <w:color w:val="0B4D92"/>
          <w:sz w:val="36"/>
        </w:rPr>
        <w:t>5. Consentement</w:t>
      </w:r>
    </w:p>
    <w:p>
      <w:r>
        <w:rPr>
          <w:sz w:val="22"/>
        </w:rPr>
        <w:t xml:space="preserve">☐ </w:t>
      </w:r>
      <w:r>
        <w:rPr>
          <w:sz w:val="20"/>
        </w:rPr>
        <w:t>J'autorise ENIX SARL à traiter les informations fournies dans le cadre de ma demande, conformément à la loi camerounaise n° 2024/017 du 23 décembre 2024 relative à la protection des données à caractère personnel.</w:t>
      </w:r>
    </w:p>
    <w:p/>
    <w:p>
      <w:pPr>
        <w:jc w:val="center"/>
      </w:pPr>
      <w:r>
        <w:rPr>
          <w:color w:val="6C90B5"/>
          <w:sz w:val="18"/>
        </w:rPr>
        <w:t>ENIX SARL · Yaoundé – Douala – Cameroun · sales@enix.cm · +237 6 78 10 64 64 · www.enixcompany.com</w:t>
      </w:r>
    </w:p>
    <w:p>
      <w:pPr>
        <w:jc w:val="center"/>
      </w:pPr>
      <w:r>
        <w:rPr>
          <w:i/>
          <w:color w:val="6C90B5"/>
          <w:sz w:val="16"/>
        </w:rPr>
        <w:t>Ce formulaire, une fois rempli, peut être envoyé par email à sales@enix.cm. Vos données sont traitées conformément à la loi 2024/017.</w:t>
      </w:r>
    </w:p>
    <w:sectPr w:rsidR="00FC693F" w:rsidRPr="0006063C" w:rsidSect="00034616">
      <w:pgSz w:w="12240" w:h="15840"/>
      <w:pgMar w:top="1020" w:right="1134" w:bottom="1020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Calibri" w:hAnsi="Calibri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