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color w:val="6C90B5"/>
          <w:sz w:val="28"/>
        </w:rPr>
        <w:t>Oxygen Forensics — Devis Laboratoire Mobile</w:t>
      </w:r>
    </w:p>
    <w:p>
      <w:pPr>
        <w:jc w:val="center"/>
      </w:pPr>
      <w:r>
        <w:rPr>
          <w:i/>
        </w:rPr>
        <w:t>Partenaire Oxygen Forensics — Detective, Analyst Center, Field — extraction mobile, analyse chronologique.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AF2FB"/>
          </w:tcPr>
          <w:p>
            <w:r>
              <w:rPr>
                <w:b/>
              </w:rPr>
              <w:t xml:space="preserve">ℹ </w:t>
            </w:r>
            <w:r>
              <w:rPr>
                <w:sz w:val="20"/>
              </w:rPr>
              <w:t>Oxygen Forensics est la référence mondiale de l'analyse mobile judiciaire. ENIX en assure la distribution, le déploiement et la formation au Cameroun : Oxygen Detective, Analyst Center, Field et KeyScout.</w:t>
            </w:r>
          </w:p>
        </w:tc>
      </w:tr>
    </w:tbl>
    <w:p/>
    <w:p>
      <w:pPr>
        <w:spacing w:before="240" w:after="80"/>
      </w:pPr>
      <w:r>
        <w:rPr>
          <w:b/>
          <w:color w:val="0B4D92"/>
          <w:sz w:val="36"/>
        </w:rPr>
        <w:t>1. Identité de l'organisation</w:t>
      </w:r>
    </w:p>
    <w:p>
      <w:r>
        <w:rPr>
          <w:b/>
          <w:color w:val="333333"/>
          <w:sz w:val="22"/>
        </w:rPr>
        <w:t xml:space="preserve">Nom de l'organisme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Personne de contact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Fonction / Rôle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Email professionnel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Téléphone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Site web / LinkedIn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Ville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r>
        <w:rPr>
          <w:b/>
          <w:color w:val="333333"/>
          <w:sz w:val="22"/>
        </w:rPr>
        <w:t xml:space="preserve">Pays (Cameroun par défaut)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2. Détails du besoin</w:t>
      </w:r>
    </w:p>
    <w:p>
      <w:r>
        <w:rPr>
          <w:b/>
          <w:color w:val="333333"/>
          <w:sz w:val="22"/>
        </w:rPr>
        <w:t xml:space="preserve">Produit Oxygen souhaité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Oxygen Forensic Detective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Oxygen Analyst Center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Oxygen Forensic Field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Oxygen KeyScout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Training &amp; certification Oxygen</w:t>
      </w:r>
    </w:p>
    <w:p>
      <w:r>
        <w:rPr>
          <w:b/>
          <w:color w:val="333333"/>
          <w:sz w:val="22"/>
        </w:rPr>
        <w:t xml:space="preserve">Cadre d'utilisation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Laboratoire police / gendarmerie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Laboratoire armée / défense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Enquête privée agréée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Audit interne entreprise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Autre</w:t>
      </w:r>
    </w:p>
    <w:p>
      <w:r>
        <w:rPr>
          <w:b/>
          <w:color w:val="333333"/>
          <w:sz w:val="22"/>
        </w:rPr>
        <w:t xml:space="preserve">Volumétrie mensuelle estimée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10 extractions / mois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à 50 extractions / mois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 à 200 extractions / mois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200 extractions / mois</w:t>
      </w:r>
    </w:p>
    <w:p>
      <w:r>
        <w:rPr>
          <w:b/>
          <w:color w:val="333333"/>
          <w:sz w:val="22"/>
        </w:rPr>
        <w:t xml:space="preserve">Nombre d'analystes utilisateurs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à 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 à 15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15</w:t>
      </w:r>
    </w:p>
    <w:p>
      <w:r>
        <w:rPr>
          <w:b/>
          <w:color w:val="333333"/>
          <w:sz w:val="22"/>
        </w:rPr>
        <w:t xml:space="preserve">Modules d'analyse prioritaires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Extraction physique/logique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Analyse applications de messagerie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Analyse cloud / IoT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Chronologie unifiée (timeline)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Détection des lieux (geolocalisation)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OCR + reconnaissance faciale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Déchiffrement mots de passe</w:t>
      </w:r>
    </w:p>
    <w:p>
      <w:r>
        <w:rPr>
          <w:b/>
          <w:color w:val="333333"/>
          <w:sz w:val="22"/>
        </w:rPr>
        <w:t xml:space="preserve">Équipements associés souhaités (cochez autant que nécessaire)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Station forensic Mozak durcie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Cage de Faraday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Câbles d'extraction spécialisés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Baie de stockage scellée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Serveur de centralisation (Analyst Center)</w:t>
      </w:r>
    </w:p>
    <w:p>
      <w:r>
        <w:rPr>
          <w:b/>
          <w:color w:val="333333"/>
          <w:sz w:val="22"/>
        </w:rPr>
        <w:t xml:space="preserve">Formation souhaitée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Aucune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utilisateur (3 jours)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Formation experte (2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Certification complète ENIX + Oxygen</w:t>
      </w:r>
    </w:p>
    <w:p>
      <w:pPr>
        <w:spacing w:before="240" w:after="80"/>
      </w:pPr>
      <w:r>
        <w:rPr>
          <w:b/>
          <w:color w:val="0B4D92"/>
          <w:sz w:val="36"/>
        </w:rPr>
        <w:t>3. Budget &amp; calendrier</w:t>
      </w:r>
    </w:p>
    <w:p>
      <w:r>
        <w:rPr>
          <w:b/>
          <w:color w:val="333333"/>
          <w:sz w:val="22"/>
        </w:rPr>
        <w:t xml:space="preserve">Budget estimé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Moins de 500 000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500 000 – 2 000 000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2 000 000 – 10 000 000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10 000 000 –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Plus de 50 000 000 FCFA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chiffrer ensemble</w:t>
      </w:r>
    </w:p>
    <w:p>
      <w:r>
        <w:rPr>
          <w:b/>
          <w:color w:val="333333"/>
          <w:sz w:val="22"/>
        </w:rPr>
        <w:t xml:space="preserve">Délai souhaité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Urgent (&lt; 2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Court terme (2–8 semaines)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Moyen terme (2–6 mois)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Long terme (&gt; 6 mois)</w:t>
      </w:r>
    </w:p>
    <w:p>
      <w:r>
        <w:rPr>
          <w:b/>
          <w:color w:val="333333"/>
          <w:sz w:val="22"/>
        </w:rPr>
        <w:t xml:space="preserve">Mode d'achat envisagé : 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Achat direct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Abonnement / souscription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Location / leasing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Appel d'offres public</w:t>
      </w:r>
    </w:p>
    <w:p>
      <w:pPr>
        <w:pStyle w:val="ListBullet"/>
      </w:pPr>
      <w:r>
        <w:rPr>
          <w:sz w:val="22"/>
        </w:rPr>
        <w:t xml:space="preserve">☐ </w:t>
      </w:r>
      <w:r>
        <w:rPr>
          <w:sz w:val="22"/>
        </w:rPr>
        <w:t>À discuter</w:t>
      </w:r>
    </w:p>
    <w:p>
      <w:pPr>
        <w:spacing w:before="240" w:after="80"/>
      </w:pPr>
      <w:r>
        <w:rPr>
          <w:b/>
          <w:color w:val="0B4D92"/>
          <w:sz w:val="36"/>
        </w:rPr>
        <w:t>4. Précisions libres</w:t>
      </w:r>
    </w:p>
    <w:p>
      <w:r>
        <w:rPr>
          <w:b/>
          <w:color w:val="333333"/>
          <w:sz w:val="22"/>
        </w:rPr>
        <w:t xml:space="preserve">Contexte, contraintes, informations utiles : 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after="0"/>
      </w:pPr>
      <w:r>
        <w:rPr>
          <w:sz w:val="22"/>
        </w:rPr>
        <w:t>______________________________________________________________________</w:t>
      </w:r>
    </w:p>
    <w:p>
      <w:pPr>
        <w:spacing w:before="240" w:after="80"/>
      </w:pPr>
      <w:r>
        <w:rPr>
          <w:b/>
          <w:color w:val="0B4D92"/>
          <w:sz w:val="36"/>
        </w:rPr>
        <w:t>5. Consentement</w:t>
      </w:r>
    </w:p>
    <w:p>
      <w:r>
        <w:rPr>
          <w:sz w:val="22"/>
        </w:rPr>
        <w:t xml:space="preserve">☐ </w:t>
      </w:r>
      <w:r>
        <w:rPr>
          <w:sz w:val="20"/>
        </w:rPr>
        <w:t>J'autorise ENIX SARL à traiter les informations fournies dans le cadre de ma demande, conformément à la loi camerounaise n° 2024/017 du 23 décembre 2024 relative à la protection des données à caractère personnel.</w:t>
      </w:r>
    </w:p>
    <w:p/>
    <w:p>
      <w:pPr>
        <w:jc w:val="center"/>
      </w:pPr>
      <w:r>
        <w:rPr>
          <w:color w:val="6C90B5"/>
          <w:sz w:val="18"/>
        </w:rPr>
        <w:t>ENIX SARL · Yaoundé – Douala – Cameroun · sales@enix.cm · +237 6 78 10 64 64 · www.enixcompany.com</w:t>
      </w:r>
    </w:p>
    <w:p>
      <w:pPr>
        <w:jc w:val="center"/>
      </w:pPr>
      <w:r>
        <w:rPr>
          <w:i/>
          <w:color w:val="6C90B5"/>
          <w:sz w:val="16"/>
        </w:rPr>
        <w:t>Ce formulaire, une fois rempli, peut être envoyé par email à sales@enix.cm. Vos données sont traitées conformément à la loi 2024/017.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