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color w:val="6C90B5"/>
          <w:sz w:val="28"/>
        </w:rPr>
        <w:t>Équipements Mozak — Devis personnalisé</w:t>
      </w:r>
    </w:p>
    <w:p>
      <w:pPr>
        <w:jc w:val="center"/>
      </w:pPr>
      <w:r>
        <w:rPr>
          <w:i/>
        </w:rPr>
        <w:t>Ordinateurs portables, stations et serveurs — Made in Cameroun, durcis pour les environnements exigeants.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AF2FB"/>
          </w:tcPr>
          <w:p>
            <w:r>
              <w:rPr>
                <w:b/>
              </w:rPr>
              <w:t xml:space="preserve">ℹ </w:t>
            </w:r>
            <w:r>
              <w:rPr>
                <w:sz w:val="20"/>
              </w:rPr>
              <w:t>La gamme Mozak assemblée au Cameroun combine composants industriels haut de gamme, chiffrement matériel et support local 7j/7. Ce formulaire nous permet de proposer une configuration taillée pour votre usage — bureautique sécurisée, ingénierie terrain, salle de serveurs durcie.</w:t>
            </w:r>
          </w:p>
        </w:tc>
      </w:tr>
    </w:tbl>
    <w:p/>
    <w:p>
      <w:pPr>
        <w:spacing w:before="240" w:after="80"/>
      </w:pPr>
      <w:r>
        <w:rPr>
          <w:b/>
          <w:color w:val="0B4D92"/>
          <w:sz w:val="36"/>
        </w:rPr>
        <w:t>1. Identité de l'organisation</w:t>
      </w:r>
    </w:p>
    <w:p>
      <w:r>
        <w:rPr>
          <w:b/>
          <w:color w:val="333333"/>
          <w:sz w:val="22"/>
        </w:rPr>
        <w:t xml:space="preserve">Nom de l'organisme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Personne de contact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Fonction / Rôle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Email professionnel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Téléphone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Site web / LinkedIn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Ville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Pays (Cameroun par défaut)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2. Détails du besoin</w:t>
      </w:r>
    </w:p>
    <w:p>
      <w:r>
        <w:rPr>
          <w:b/>
          <w:color w:val="333333"/>
          <w:sz w:val="22"/>
        </w:rPr>
        <w:t xml:space="preserve">Type d'équipement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Ordinateur portable professionnel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Station de travail fixe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Serveur rack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Workstation ingénierie/CAO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Mini-PC bureau sécurisé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Solution mixte (plusieurs types)</w:t>
      </w:r>
    </w:p>
    <w:p>
      <w:r>
        <w:rPr>
          <w:b/>
          <w:color w:val="333333"/>
          <w:sz w:val="22"/>
        </w:rPr>
        <w:t xml:space="preserve">Quantité estimée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 à 5 unités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 à 20 unités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20 à 50 unités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 à 100 unités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100 unités</w:t>
      </w:r>
    </w:p>
    <w:p>
      <w:r>
        <w:rPr>
          <w:b/>
          <w:color w:val="333333"/>
          <w:sz w:val="22"/>
        </w:rPr>
        <w:t xml:space="preserve">Usage principal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Bureautique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Développement / ingénierie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Sécurité offensive (pentest)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Investigation numérique (forensic)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Terrain / mobilité extrême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Serveur / centre de données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Autre</w:t>
      </w:r>
    </w:p>
    <w:p>
      <w:r>
        <w:rPr>
          <w:b/>
          <w:color w:val="333333"/>
          <w:sz w:val="22"/>
        </w:rPr>
        <w:t xml:space="preserve">Niveau de durcissement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Standard professionnel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Renforcé (TPM + chiffrement disque)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Militaire (anti-choc, anti-poussière)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Classifié (secret défense)</w:t>
      </w:r>
    </w:p>
    <w:p>
      <w:r>
        <w:rPr>
          <w:b/>
          <w:color w:val="333333"/>
          <w:sz w:val="22"/>
        </w:rPr>
        <w:t xml:space="preserve">Système d'exploitation préféré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Windows 11 Pro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Windows 11 Entreprise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Linux (Ubuntu / Debian / Fedora)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Dual-boot Windows + Linux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ENIX OS (durci)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conseiller</w:t>
      </w:r>
    </w:p>
    <w:p>
      <w:r>
        <w:rPr>
          <w:b/>
          <w:color w:val="333333"/>
          <w:sz w:val="22"/>
        </w:rPr>
        <w:t xml:space="preserve">Options matérielles souhaitées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Lecteur biométrique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Webcam à obturateur physique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Port smartcard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Écran vie privée anti-regard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SSD chiffré hardware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Batterie longue durée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4G/5G intégrée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Châssis durci militaire</w:t>
      </w:r>
    </w:p>
    <w:p>
      <w:r>
        <w:rPr>
          <w:b/>
          <w:color w:val="333333"/>
          <w:sz w:val="22"/>
        </w:rPr>
        <w:t xml:space="preserve">Services associés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Préparation / mastering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Déploiement sur site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Formation utilisateur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Support 8/5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Support 24/7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Garantie étendue 3 ans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Garantie étendue 5 ans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Reprise ancien matériel</w:t>
      </w:r>
    </w:p>
    <w:p>
      <w:r>
        <w:rPr>
          <w:b/>
          <w:color w:val="333333"/>
          <w:sz w:val="22"/>
        </w:rPr>
        <w:t xml:space="preserve">Livraison souhaitée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Retrait sur site ENIX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Livraison Douala/Yaoundé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Livraison régions Cameroun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Export CEMAC</w:t>
      </w:r>
    </w:p>
    <w:p>
      <w:pPr>
        <w:spacing w:before="240" w:after="80"/>
      </w:pPr>
      <w:r>
        <w:rPr>
          <w:b/>
          <w:color w:val="0B4D92"/>
          <w:sz w:val="36"/>
        </w:rPr>
        <w:t>3. Budget &amp; calendrier</w:t>
      </w:r>
    </w:p>
    <w:p>
      <w:r>
        <w:rPr>
          <w:b/>
          <w:color w:val="333333"/>
          <w:sz w:val="22"/>
        </w:rPr>
        <w:t xml:space="preserve">Budget estimé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Moins de 500 000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500 000 – 2 000 000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2 000 000 – 10 000 000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10 000 000 –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chiffrer ensemble</w:t>
      </w:r>
    </w:p>
    <w:p>
      <w:r>
        <w:rPr>
          <w:b/>
          <w:color w:val="333333"/>
          <w:sz w:val="22"/>
        </w:rPr>
        <w:t xml:space="preserve">Délai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Urgent (&lt; 2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Court terme (2–8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Moyen terme (2–6 mois)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Long terme (&gt; 6 mois)</w:t>
      </w:r>
    </w:p>
    <w:p>
      <w:r>
        <w:rPr>
          <w:b/>
          <w:color w:val="333333"/>
          <w:sz w:val="22"/>
        </w:rPr>
        <w:t xml:space="preserve">Mode d'achat envisagé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Achat direct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Abonnement / souscription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Location / leasing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Appel d'offres public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discuter</w:t>
      </w:r>
    </w:p>
    <w:p>
      <w:pPr>
        <w:spacing w:before="240" w:after="80"/>
      </w:pPr>
      <w:r>
        <w:rPr>
          <w:b/>
          <w:color w:val="0B4D92"/>
          <w:sz w:val="36"/>
        </w:rPr>
        <w:t>4. Précisions libres</w:t>
      </w:r>
    </w:p>
    <w:p>
      <w:r>
        <w:rPr>
          <w:b/>
          <w:color w:val="333333"/>
          <w:sz w:val="22"/>
        </w:rPr>
        <w:t xml:space="preserve">Contexte, contraintes, informations utiles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5. Consentement</w:t>
      </w:r>
    </w:p>
    <w:p>
      <w:r>
        <w:rPr>
          <w:sz w:val="22"/>
        </w:rPr>
        <w:t xml:space="preserve">☐ </w:t>
      </w:r>
      <w:r>
        <w:rPr>
          <w:sz w:val="20"/>
        </w:rPr>
        <w:t>J'autorise ENIX SARL à traiter les informations fournies dans le cadre de ma demande, conformément à la loi camerounaise n° 2024/017 du 23 décembre 2024 relative à la protection des données à caractère personnel.</w:t>
      </w:r>
    </w:p>
    <w:p/>
    <w:p>
      <w:pPr>
        <w:jc w:val="center"/>
      </w:pPr>
      <w:r>
        <w:rPr>
          <w:color w:val="6C90B5"/>
          <w:sz w:val="18"/>
        </w:rPr>
        <w:t>ENIX SARL · Yaoundé – Douala – Cameroun · sales@enix.cm · +237 6 78 10 64 64 · www.enixcompany.com</w:t>
      </w:r>
    </w:p>
    <w:p>
      <w:pPr>
        <w:jc w:val="center"/>
      </w:pPr>
      <w:r>
        <w:rPr>
          <w:i/>
          <w:color w:val="6C90B5"/>
          <w:sz w:val="16"/>
        </w:rPr>
        <w:t>Ce formulaire, une fois rempli, peut être envoyé par email à sales@enix.cm. Vos données sont traitées conformément à la loi 2024/017.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