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Microsoft 365 — Devis Licences &amp; Migration</w:t>
      </w:r>
    </w:p>
    <w:p>
      <w:pPr>
        <w:jc w:val="center"/>
      </w:pPr>
      <w:r>
        <w:rPr>
          <w:i/>
        </w:rPr>
        <w:t>Licences E1/E3/E5, Business Standard/Premium, migration, sécurisation Defender, Teams Phone — tout Microsoft 365.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Partenaire Microsoft au Cameroun, ENIX livre licences, migration et sécurisation Microsoft 365. Ce formulaire nous permet de cadrer le type de licences, le volume, les modules à activer (Intune, Defender, Purview) et la trajectoire de migration depuis Exchange/Google Workspace.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Formule Microsoft 365 souhaitée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Business Basic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Business Standard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Business Premium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Apps for Business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Entreprise E1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Entreprise E3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Entreprise E5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Government G3/G5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Education A1/A3/A5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conseiller</w:t>
      </w:r>
    </w:p>
    <w:p>
      <w:r>
        <w:rPr>
          <w:b/>
          <w:color w:val="333333"/>
          <w:sz w:val="22"/>
        </w:rPr>
        <w:t xml:space="preserve">Nombre de licences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à 10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à 50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 à 200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200 à 500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à 1000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1000</w:t>
      </w:r>
    </w:p>
    <w:p>
      <w:r>
        <w:rPr>
          <w:b/>
          <w:color w:val="333333"/>
          <w:sz w:val="22"/>
        </w:rPr>
        <w:t xml:space="preserve">Migration depuis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Nouvelle installation (pas de migration)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Exchange On-Premise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Google Workspace / Gmail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Autre Microsoft 365 tenant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Hébergeur tiers (IMAP)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déterminer</w:t>
      </w:r>
    </w:p>
    <w:p>
      <w:r>
        <w:rPr>
          <w:b/>
          <w:color w:val="333333"/>
          <w:sz w:val="22"/>
        </w:rPr>
        <w:t xml:space="preserve">Modules additionnels à activer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Intune (MDM/MAM)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Defender for Office 365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Defender for Endpoint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Defender for Identity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Purview (conformité / DLP)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Teams Phone (téléphonie)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Power BI Pro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Power Automate / Power Apps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Copilot for Microsoft 365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Viva Engage / Insights</w:t>
      </w:r>
    </w:p>
    <w:p>
      <w:r>
        <w:rPr>
          <w:b/>
          <w:color w:val="333333"/>
          <w:sz w:val="22"/>
        </w:rPr>
        <w:t xml:space="preserve">Domaine / DNS à rattacher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Infrastructure identité actuelle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Active Directory sur site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Azure AD / Entra ID déjà déployé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Aucune (création)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LDAP / Autre annuaire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r>
        <w:rPr>
          <w:b/>
          <w:color w:val="333333"/>
          <w:sz w:val="22"/>
        </w:rPr>
        <w:t xml:space="preserve">Accompagnements souhaités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Audit de sécurité du tenant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Configuration MFA / Conditional Access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Sauvegarde cloud (Veeam / AvePoint)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Formation utilisateurs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Support 8/5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Support 24/7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Gouvernance documentaire (SharePoint/OneDrive)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