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4D92"/>
          <w:sz w:val="40"/>
        </w:rPr>
        <w:t>ENIX SARL</w:t>
      </w:r>
    </w:p>
    <w:p>
      <w:r>
        <w:rPr>
          <w:color w:val="6C90B5"/>
          <w:sz w:val="28"/>
        </w:rPr>
        <w:t>LynxVision — Étude de site et devis</w:t>
      </w:r>
    </w:p>
    <w:p>
      <w:r>
        <w:t>Surveillance intelligente : détection, identification passive et recherche rétrospective, hébergées dans votre enceinte. Ce questionnaire nous permet de dimensionner la couverture caméra, l'infrastructure de calcul sur site et le cadre de conformité avant tout chiffrage. Les questions techniques peuvent rester sans réponse : nous les reprendrons lors de la visite de site.</w:t>
      </w:r>
    </w:p>
    <w:p>
      <w:r>
        <w:rPr>
          <w:b/>
          <w:color w:val="0B4D92"/>
          <w:sz w:val="36"/>
        </w:rPr>
        <w:t>1. Identité de l'organisation</w:t>
      </w:r>
    </w:p>
    <w:p>
      <w:r>
        <w:rPr>
          <w:b/>
          <w:color w:val="333333"/>
          <w:sz w:val="22"/>
        </w:rPr>
        <w:t xml:space="preserve">Nom de l'organisme : </w:t>
      </w:r>
    </w:p>
    <w:p>
      <w:r>
        <w:rPr>
          <w:sz w:val="22"/>
        </w:rPr>
        <w:t>______________________________________________________________________</w:t>
      </w:r>
    </w:p>
    <w:p>
      <w:r>
        <w:rPr>
          <w:b/>
          <w:color w:val="333333"/>
          <w:sz w:val="22"/>
        </w:rPr>
        <w:t xml:space="preserve">Personne de contact : </w:t>
      </w:r>
    </w:p>
    <w:p>
      <w:r>
        <w:rPr>
          <w:sz w:val="22"/>
        </w:rPr>
        <w:t>______________________________________________________________________</w:t>
      </w:r>
    </w:p>
    <w:p>
      <w:r>
        <w:rPr>
          <w:b/>
          <w:color w:val="333333"/>
          <w:sz w:val="22"/>
        </w:rPr>
        <w:t xml:space="preserve">Fonction / Rôle : </w:t>
      </w:r>
    </w:p>
    <w:p>
      <w:r>
        <w:rPr>
          <w:sz w:val="22"/>
        </w:rPr>
        <w:t>______________________________________________________________________</w:t>
      </w:r>
    </w:p>
    <w:p>
      <w:r>
        <w:rPr>
          <w:b/>
          <w:color w:val="333333"/>
          <w:sz w:val="22"/>
        </w:rPr>
        <w:t xml:space="preserve">Email professionnel : </w:t>
      </w:r>
    </w:p>
    <w:p>
      <w:r>
        <w:rPr>
          <w:sz w:val="22"/>
        </w:rPr>
        <w:t>______________________________________________________________________</w:t>
      </w:r>
    </w:p>
    <w:p>
      <w:r>
        <w:rPr>
          <w:b/>
          <w:color w:val="333333"/>
          <w:sz w:val="22"/>
        </w:rPr>
        <w:t xml:space="preserve">Téléphone : </w:t>
      </w:r>
    </w:p>
    <w:p>
      <w:r>
        <w:rPr>
          <w:sz w:val="22"/>
        </w:rPr>
        <w:t>______________________________________________________________________</w:t>
      </w:r>
    </w:p>
    <w:p>
      <w:r>
        <w:rPr>
          <w:b/>
          <w:color w:val="333333"/>
          <w:sz w:val="22"/>
        </w:rPr>
        <w:t xml:space="preserve">Site web / LinkedIn : </w:t>
      </w:r>
    </w:p>
    <w:p>
      <w:r>
        <w:rPr>
          <w:sz w:val="22"/>
        </w:rPr>
        <w:t>______________________________________________________________________</w:t>
      </w:r>
    </w:p>
    <w:p>
      <w:r>
        <w:rPr>
          <w:b/>
          <w:color w:val="333333"/>
          <w:sz w:val="22"/>
        </w:rPr>
        <w:t xml:space="preserve">Ville : </w:t>
      </w:r>
    </w:p>
    <w:p>
      <w:r>
        <w:rPr>
          <w:sz w:val="22"/>
        </w:rPr>
        <w:t>______________________________________________________________________</w:t>
      </w:r>
    </w:p>
    <w:p>
      <w:r>
        <w:rPr>
          <w:b/>
          <w:color w:val="333333"/>
          <w:sz w:val="22"/>
        </w:rPr>
        <w:t xml:space="preserve">Pays (Cameroun par défaut) : </w:t>
      </w:r>
    </w:p>
    <w:p>
      <w:r>
        <w:rPr>
          <w:sz w:val="22"/>
        </w:rPr>
        <w:t>______________________________________________________________________</w:t>
      </w:r>
    </w:p>
    <w:p>
      <w:r>
        <w:rPr>
          <w:b/>
          <w:color w:val="0B4D92"/>
          <w:sz w:val="36"/>
        </w:rPr>
        <w:t>2. Le site à équiper</w:t>
      </w:r>
    </w:p>
    <w:p>
      <w:r>
        <w:rPr>
          <w:b/>
          <w:color w:val="333333"/>
          <w:sz w:val="22"/>
        </w:rPr>
        <w:t xml:space="preserve">Type de site : </w:t>
      </w:r>
    </w:p>
    <w:p>
      <w:pPr>
        <w:pStyle w:val="ListBullet"/>
      </w:pPr>
      <w:r>
        <w:t>☐ Usine / site industriel</w:t>
      </w:r>
    </w:p>
    <w:p>
      <w:pPr>
        <w:pStyle w:val="ListBullet"/>
      </w:pPr>
      <w:r>
        <w:t>☐ Siège social / immeuble de bureaux</w:t>
      </w:r>
    </w:p>
    <w:p>
      <w:pPr>
        <w:pStyle w:val="ListBullet"/>
      </w:pPr>
      <w:r>
        <w:t>☐ Entrepôt / plateforme logistique</w:t>
      </w:r>
    </w:p>
    <w:p>
      <w:pPr>
        <w:pStyle w:val="ListBullet"/>
      </w:pPr>
      <w:r>
        <w:t>☐ Site sensible ou stratégique</w:t>
      </w:r>
    </w:p>
    <w:p>
      <w:pPr>
        <w:pStyle w:val="ListBullet"/>
      </w:pPr>
      <w:r>
        <w:t>☐ Campus / établissement d'enseignement</w:t>
      </w:r>
    </w:p>
    <w:p>
      <w:pPr>
        <w:pStyle w:val="ListBullet"/>
      </w:pPr>
      <w:r>
        <w:t>☐ Établissement de santé</w:t>
      </w:r>
    </w:p>
    <w:p>
      <w:pPr>
        <w:pStyle w:val="ListBullet"/>
      </w:pPr>
      <w:r>
        <w:t>☐ Commerce / centre commercial</w:t>
      </w:r>
    </w:p>
    <w:p>
      <w:pPr>
        <w:pStyle w:val="ListBullet"/>
      </w:pPr>
      <w:r>
        <w:t>☐ Administration / institution publique</w:t>
      </w:r>
    </w:p>
    <w:p>
      <w:pPr>
        <w:pStyle w:val="ListBullet"/>
      </w:pPr>
      <w:r>
        <w:t>☐ Autre</w:t>
      </w:r>
    </w:p>
    <w:p>
      <w:r>
        <w:rPr>
          <w:b/>
          <w:color w:val="333333"/>
          <w:sz w:val="22"/>
        </w:rPr>
        <w:t xml:space="preserve">Nombre de sites concernés : </w:t>
      </w:r>
    </w:p>
    <w:p>
      <w:pPr>
        <w:pStyle w:val="ListBullet"/>
      </w:pPr>
      <w:r>
        <w:t>☐ 1 site</w:t>
      </w:r>
    </w:p>
    <w:p>
      <w:pPr>
        <w:pStyle w:val="ListBullet"/>
      </w:pPr>
      <w:r>
        <w:t>☐ 2 à 3 sites</w:t>
      </w:r>
    </w:p>
    <w:p>
      <w:pPr>
        <w:pStyle w:val="ListBullet"/>
      </w:pPr>
      <w:r>
        <w:t>☐ 4 à 10 sites</w:t>
      </w:r>
    </w:p>
    <w:p>
      <w:pPr>
        <w:pStyle w:val="ListBullet"/>
      </w:pPr>
      <w:r>
        <w:t>☐ Plus de 10 sites</w:t>
      </w:r>
    </w:p>
    <w:p>
      <w:pPr>
        <w:pStyle w:val="ListBullet"/>
      </w:pPr>
      <w:r>
        <w:t>☐ Non déterminé</w:t>
      </w:r>
    </w:p>
    <w:p>
      <w:r>
        <w:rPr>
          <w:b/>
          <w:color w:val="333333"/>
          <w:sz w:val="22"/>
        </w:rPr>
        <w:t xml:space="preserve">Nombre d'accès à couvrir : </w:t>
      </w:r>
    </w:p>
    <w:p>
      <w:pPr>
        <w:pStyle w:val="ListBullet"/>
      </w:pPr>
      <w:r>
        <w:t>☐ 1 accès principal</w:t>
      </w:r>
    </w:p>
    <w:p>
      <w:pPr>
        <w:pStyle w:val="ListBullet"/>
      </w:pPr>
      <w:r>
        <w:t>☐ 2 à 4 accès</w:t>
      </w:r>
    </w:p>
    <w:p>
      <w:pPr>
        <w:pStyle w:val="ListBullet"/>
      </w:pPr>
      <w:r>
        <w:t>☐ 5 à 10 accès</w:t>
      </w:r>
    </w:p>
    <w:p>
      <w:pPr>
        <w:pStyle w:val="ListBullet"/>
      </w:pPr>
      <w:r>
        <w:t>☐ Plus de 10 accès</w:t>
      </w:r>
    </w:p>
    <w:p>
      <w:pPr>
        <w:pStyle w:val="ListBullet"/>
      </w:pPr>
      <w:r>
        <w:t>☐ À évaluer sur site</w:t>
      </w:r>
    </w:p>
    <w:p>
      <w:r>
        <w:rPr>
          <w:b/>
          <w:color w:val="333333"/>
          <w:sz w:val="22"/>
        </w:rPr>
        <w:t xml:space="preserve">Flux de passage aux heures de pointe : </w:t>
      </w:r>
    </w:p>
    <w:p>
      <w:pPr>
        <w:pStyle w:val="ListBullet"/>
      </w:pPr>
      <w:r>
        <w:t>☐ Moins de 50 personnes / heure</w:t>
      </w:r>
    </w:p>
    <w:p>
      <w:pPr>
        <w:pStyle w:val="ListBullet"/>
      </w:pPr>
      <w:r>
        <w:t>☐ 50 à 200 personnes / heure</w:t>
      </w:r>
    </w:p>
    <w:p>
      <w:pPr>
        <w:pStyle w:val="ListBullet"/>
      </w:pPr>
      <w:r>
        <w:t>☐ 200 à 500 personnes / heure</w:t>
      </w:r>
    </w:p>
    <w:p>
      <w:pPr>
        <w:pStyle w:val="ListBullet"/>
      </w:pPr>
      <w:r>
        <w:t>☐ Plus de 500 personnes / heure</w:t>
      </w:r>
    </w:p>
    <w:p>
      <w:pPr>
        <w:pStyle w:val="ListBullet"/>
      </w:pPr>
      <w:r>
        <w:t>☐ Inconnu</w:t>
      </w:r>
    </w:p>
    <w:p>
      <w:r>
        <w:rPr>
          <w:b/>
          <w:color w:val="333333"/>
          <w:sz w:val="22"/>
        </w:rPr>
        <w:t xml:space="preserve">Caméras déjà installées : </w:t>
      </w:r>
    </w:p>
    <w:p>
      <w:pPr>
        <w:pStyle w:val="ListBullet"/>
      </w:pPr>
      <w:r>
        <w:t>☐ Aucune caméra</w:t>
      </w:r>
    </w:p>
    <w:p>
      <w:pPr>
        <w:pStyle w:val="ListBullet"/>
      </w:pPr>
      <w:r>
        <w:t>☐ Quelques caméras analogiques</w:t>
      </w:r>
    </w:p>
    <w:p>
      <w:pPr>
        <w:pStyle w:val="ListBullet"/>
      </w:pPr>
      <w:r>
        <w:t>☐ Parc IP existant, à réutiliser</w:t>
      </w:r>
    </w:p>
    <w:p>
      <w:pPr>
        <w:pStyle w:val="ListBullet"/>
      </w:pPr>
      <w:r>
        <w:t>☐ Parc IP existant, à remplacer</w:t>
      </w:r>
    </w:p>
    <w:p>
      <w:pPr>
        <w:pStyle w:val="ListBullet"/>
      </w:pPr>
      <w:r>
        <w:t>☐ Installation neuve prévue</w:t>
      </w:r>
    </w:p>
    <w:p>
      <w:r>
        <w:rPr>
          <w:b/>
          <w:color w:val="333333"/>
          <w:sz w:val="22"/>
        </w:rPr>
        <w:t xml:space="preserve">Enregistreur ou logiciel de vidéosurveillance actuel (marque et modèle) : </w:t>
      </w:r>
    </w:p>
    <w:p>
      <w:r>
        <w:rPr>
          <w:sz w:val="22"/>
        </w:rPr>
        <w:t>______________________________________________________________________</w:t>
      </w:r>
    </w:p>
    <w:p>
      <w:r>
        <w:rPr>
          <w:b/>
          <w:color w:val="333333"/>
          <w:sz w:val="22"/>
        </w:rPr>
        <w:t xml:space="preserve">Contrôle d'accès par badge aujourd'hui : </w:t>
      </w:r>
    </w:p>
    <w:p>
      <w:pPr>
        <w:pStyle w:val="ListBullet"/>
      </w:pPr>
      <w:r>
        <w:t>☐ Aucun badge, accès ouvert</w:t>
      </w:r>
    </w:p>
    <w:p>
      <w:pPr>
        <w:pStyle w:val="ListBullet"/>
      </w:pPr>
      <w:r>
        <w:t>☐ Badges pour une partie du personnel</w:t>
      </w:r>
    </w:p>
    <w:p>
      <w:pPr>
        <w:pStyle w:val="ListBullet"/>
      </w:pPr>
      <w:r>
        <w:t>☐ Badges généralisés</w:t>
      </w:r>
    </w:p>
    <w:p>
      <w:pPr>
        <w:pStyle w:val="ListBullet"/>
      </w:pPr>
      <w:r>
        <w:t>☐ Portails ou tourniquets prévus plus tard</w:t>
      </w:r>
    </w:p>
    <w:p>
      <w:r>
        <w:rPr>
          <w:b/>
          <w:color w:val="333333"/>
          <w:sz w:val="22"/>
        </w:rPr>
        <w:t xml:space="preserve">Alimentation électrique du site : </w:t>
      </w:r>
    </w:p>
    <w:p>
      <w:pPr>
        <w:pStyle w:val="ListBullet"/>
      </w:pPr>
      <w:r>
        <w:t>☐ Réseau stable, peu de coupures</w:t>
      </w:r>
    </w:p>
    <w:p>
      <w:pPr>
        <w:pStyle w:val="ListBullet"/>
      </w:pPr>
      <w:r>
        <w:t>☐ Coupures fréquentes</w:t>
      </w:r>
    </w:p>
    <w:p>
      <w:pPr>
        <w:pStyle w:val="ListBullet"/>
      </w:pPr>
      <w:r>
        <w:t>☐ Groupe électrogène disponible</w:t>
      </w:r>
    </w:p>
    <w:p>
      <w:pPr>
        <w:pStyle w:val="ListBullet"/>
      </w:pPr>
      <w:r>
        <w:t>☐ Onduleurs déjà en place</w:t>
      </w:r>
    </w:p>
    <w:p>
      <w:pPr>
        <w:pStyle w:val="ListBullet"/>
      </w:pPr>
      <w:r>
        <w:t>☐ À évaluer</w:t>
      </w:r>
    </w:p>
    <w:p>
      <w:r>
        <w:rPr>
          <w:b/>
          <w:color w:val="333333"/>
          <w:sz w:val="22"/>
        </w:rPr>
        <w:t xml:space="preserve">Salle ou local technique disponible : </w:t>
      </w:r>
    </w:p>
    <w:p>
      <w:pPr>
        <w:pStyle w:val="ListBullet"/>
      </w:pPr>
      <w:r>
        <w:t>☐ Oui, salle serveur existante</w:t>
      </w:r>
    </w:p>
    <w:p>
      <w:pPr>
        <w:pStyle w:val="ListBullet"/>
      </w:pPr>
      <w:r>
        <w:t>☐ Oui, local technique simple</w:t>
      </w:r>
    </w:p>
    <w:p>
      <w:pPr>
        <w:pStyle w:val="ListBullet"/>
      </w:pPr>
      <w:r>
        <w:t>☐ Non, à prévoir</w:t>
      </w:r>
    </w:p>
    <w:p>
      <w:pPr>
        <w:pStyle w:val="ListBullet"/>
      </w:pPr>
      <w:r>
        <w:t>☐ À évaluer sur site</w:t>
      </w:r>
    </w:p>
    <w:p>
      <w:r>
        <w:rPr>
          <w:b/>
          <w:color w:val="0B4D92"/>
          <w:sz w:val="36"/>
        </w:rPr>
        <w:t>3. Périmètre et objectifs</w:t>
      </w:r>
    </w:p>
    <w:p>
      <w:r>
        <w:rPr>
          <w:b/>
          <w:color w:val="333333"/>
          <w:sz w:val="22"/>
        </w:rPr>
        <w:t xml:space="preserve">Zones à couvrir : </w:t>
      </w:r>
    </w:p>
    <w:p>
      <w:pPr>
        <w:pStyle w:val="ListBullet"/>
      </w:pPr>
      <w:r>
        <w:t>☐ Accès et entrées</w:t>
      </w:r>
    </w:p>
    <w:p>
      <w:pPr>
        <w:pStyle w:val="ListBullet"/>
      </w:pPr>
      <w:r>
        <w:t>☐ Intérieur des bâtiments</w:t>
      </w:r>
    </w:p>
    <w:p>
      <w:pPr>
        <w:pStyle w:val="ListBullet"/>
      </w:pPr>
      <w:r>
        <w:t>☐ Périmètre extérieur</w:t>
      </w:r>
    </w:p>
    <w:p>
      <w:pPr>
        <w:pStyle w:val="ListBullet"/>
      </w:pPr>
      <w:r>
        <w:t>☐ Zones sensibles ou interdites</w:t>
      </w:r>
    </w:p>
    <w:p>
      <w:pPr>
        <w:pStyle w:val="ListBullet"/>
      </w:pPr>
      <w:r>
        <w:t>☐ Parkings</w:t>
      </w:r>
    </w:p>
    <w:p>
      <w:pPr>
        <w:pStyle w:val="ListBullet"/>
      </w:pPr>
      <w:r>
        <w:t>☐ Quais de chargement</w:t>
      </w:r>
    </w:p>
    <w:p>
      <w:r>
        <w:rPr>
          <w:b/>
          <w:color w:val="333333"/>
          <w:sz w:val="22"/>
        </w:rPr>
        <w:t xml:space="preserve">Objectifs recherchés : </w:t>
      </w:r>
    </w:p>
    <w:p>
      <w:pPr>
        <w:pStyle w:val="ListBullet"/>
      </w:pPr>
      <w:r>
        <w:t>☐ Lutte contre les intrusions</w:t>
      </w:r>
    </w:p>
    <w:p>
      <w:pPr>
        <w:pStyle w:val="ListBullet"/>
      </w:pPr>
      <w:r>
        <w:t>☐ Prévention du vol et du détournement</w:t>
      </w:r>
    </w:p>
    <w:p>
      <w:pPr>
        <w:pStyle w:val="ListBullet"/>
      </w:pPr>
      <w:r>
        <w:t>☐ Sécurité au travail</w:t>
      </w:r>
    </w:p>
    <w:p>
      <w:pPr>
        <w:pStyle w:val="ListBullet"/>
      </w:pPr>
      <w:r>
        <w:t>☐ Gestion des visiteurs</w:t>
      </w:r>
    </w:p>
    <w:p>
      <w:pPr>
        <w:pStyle w:val="ListBullet"/>
      </w:pPr>
      <w:r>
        <w:t>☐ Suivi de l'occupation et des jauges</w:t>
      </w:r>
    </w:p>
    <w:p>
      <w:pPr>
        <w:pStyle w:val="ListBullet"/>
      </w:pPr>
      <w:r>
        <w:t>☐ Enquête après incident</w:t>
      </w:r>
    </w:p>
    <w:p>
      <w:r>
        <w:rPr>
          <w:b/>
          <w:color w:val="333333"/>
          <w:sz w:val="22"/>
        </w:rPr>
        <w:t xml:space="preserve">Fonctions prioritaires : </w:t>
      </w:r>
    </w:p>
    <w:p>
      <w:pPr>
        <w:pStyle w:val="ListBullet"/>
      </w:pPr>
      <w:r>
        <w:t>☐ Détection et comptage des passages</w:t>
      </w:r>
    </w:p>
    <w:p>
      <w:pPr>
        <w:pStyle w:val="ListBullet"/>
      </w:pPr>
      <w:r>
        <w:t>☐ Identification sans badge ni arrêt</w:t>
      </w:r>
    </w:p>
    <w:p>
      <w:pPr>
        <w:pStyle w:val="ListBullet"/>
      </w:pPr>
      <w:r>
        <w:t>☐ Enrôlement des visiteurs par photo</w:t>
      </w:r>
    </w:p>
    <w:p>
      <w:pPr>
        <w:pStyle w:val="ListBullet"/>
      </w:pPr>
      <w:r>
        <w:t>☐ Plan du site et rejeu des trajets</w:t>
      </w:r>
    </w:p>
    <w:p>
      <w:pPr>
        <w:pStyle w:val="ListBullet"/>
      </w:pPr>
      <w:r>
        <w:t>☐ Recherche rétrospective</w:t>
      </w:r>
    </w:p>
    <w:p>
      <w:pPr>
        <w:pStyle w:val="ListBullet"/>
      </w:pPr>
      <w:r>
        <w:t>☐ Dossiers de preuve scellés</w:t>
      </w:r>
    </w:p>
    <w:p>
      <w:pPr>
        <w:pStyle w:val="ListBullet"/>
      </w:pPr>
      <w:r>
        <w:t>☐ Alertes sur comportements à risque</w:t>
      </w:r>
    </w:p>
    <w:p>
      <w:pPr>
        <w:pStyle w:val="ListBullet"/>
      </w:pPr>
      <w:r>
        <w:t>☐ Intégration d'un contrôle par badge</w:t>
      </w:r>
    </w:p>
    <w:p>
      <w:r>
        <w:rPr>
          <w:b/>
          <w:color w:val="0B4D92"/>
          <w:sz w:val="36"/>
        </w:rPr>
        <w:t>4. Conformité</w:t>
      </w:r>
    </w:p>
    <w:p>
      <w:r>
        <w:rPr>
          <w:b/>
          <w:color w:val="333333"/>
          <w:sz w:val="22"/>
        </w:rPr>
        <w:t xml:space="preserve">Responsable de traitement des données désigné : </w:t>
      </w:r>
    </w:p>
    <w:p>
      <w:pPr>
        <w:pStyle w:val="ListBullet"/>
      </w:pPr>
      <w:r>
        <w:t>☐ Oui, déjà désigné</w:t>
      </w:r>
    </w:p>
    <w:p>
      <w:pPr>
        <w:pStyle w:val="ListBullet"/>
      </w:pPr>
      <w:r>
        <w:t>☐ Non, pas encore</w:t>
      </w:r>
    </w:p>
    <w:p>
      <w:pPr>
        <w:pStyle w:val="ListBullet"/>
      </w:pPr>
      <w:r>
        <w:t>☐ Nous souhaitons être accompagnés sur ce point</w:t>
      </w:r>
    </w:p>
    <w:p>
      <w:r>
        <w:rPr>
          <w:b/>
          <w:color w:val="0B4D92"/>
          <w:sz w:val="36"/>
        </w:rPr>
        <w:t>5. Budget et calendrier</w:t>
      </w:r>
    </w:p>
    <w:p>
      <w:r>
        <w:rPr>
          <w:b/>
          <w:color w:val="333333"/>
          <w:sz w:val="22"/>
        </w:rPr>
        <w:t xml:space="preserve">Budget estimé : </w:t>
      </w:r>
    </w:p>
    <w:p>
      <w:pPr>
        <w:pStyle w:val="ListBullet"/>
      </w:pPr>
      <w:r>
        <w:t>☐ Moins de 500 000 FCFA</w:t>
      </w:r>
    </w:p>
    <w:p>
      <w:pPr>
        <w:pStyle w:val="ListBullet"/>
      </w:pPr>
      <w:r>
        <w:t>☐ 500 000 – 2 000 000 FCFA</w:t>
      </w:r>
    </w:p>
    <w:p>
      <w:pPr>
        <w:pStyle w:val="ListBullet"/>
      </w:pPr>
      <w:r>
        <w:t>☐ 2 000 000 – 10 000 000 FCFA</w:t>
      </w:r>
    </w:p>
    <w:p>
      <w:pPr>
        <w:pStyle w:val="ListBullet"/>
      </w:pPr>
      <w:r>
        <w:t>☐ 10 000 000 – 50 000 000 FCFA</w:t>
      </w:r>
    </w:p>
    <w:p>
      <w:pPr>
        <w:pStyle w:val="ListBullet"/>
      </w:pPr>
      <w:r>
        <w:t>☐ Plus de 50 000 000 FCFA</w:t>
      </w:r>
    </w:p>
    <w:p>
      <w:pPr>
        <w:pStyle w:val="ListBullet"/>
      </w:pPr>
      <w:r>
        <w:t>☐ À chiffrer ensemble</w:t>
      </w:r>
    </w:p>
    <w:p>
      <w:r>
        <w:rPr>
          <w:b/>
          <w:color w:val="333333"/>
          <w:sz w:val="22"/>
        </w:rPr>
        <w:t xml:space="preserve">Délai souhaité : </w:t>
      </w:r>
    </w:p>
    <w:p>
      <w:pPr>
        <w:pStyle w:val="ListBullet"/>
      </w:pPr>
      <w:r>
        <w:t>☐ Urgent (moins de 2 semaines)</w:t>
      </w:r>
    </w:p>
    <w:p>
      <w:pPr>
        <w:pStyle w:val="ListBullet"/>
      </w:pPr>
      <w:r>
        <w:t>☐ Court terme (2–8 semaines)</w:t>
      </w:r>
    </w:p>
    <w:p>
      <w:pPr>
        <w:pStyle w:val="ListBullet"/>
      </w:pPr>
      <w:r>
        <w:t>☐ Moyen terme (2–6 mois)</w:t>
      </w:r>
    </w:p>
    <w:p>
      <w:pPr>
        <w:pStyle w:val="ListBullet"/>
      </w:pPr>
      <w:r>
        <w:t>☐ Long terme (plus de 6 mois)</w:t>
      </w:r>
    </w:p>
    <w:p>
      <w:pPr>
        <w:pStyle w:val="ListBullet"/>
      </w:pPr>
      <w:r>
        <w:t>☐ Exploratoire / non figé</w:t>
      </w:r>
    </w:p>
    <w:p>
      <w:r>
        <w:rPr>
          <w:b/>
          <w:color w:val="333333"/>
          <w:sz w:val="22"/>
        </w:rPr>
        <w:t xml:space="preserve">Mode d'achat envisagé : </w:t>
      </w:r>
    </w:p>
    <w:p>
      <w:pPr>
        <w:pStyle w:val="ListBullet"/>
      </w:pPr>
      <w:r>
        <w:t>☐ Achat direct</w:t>
      </w:r>
    </w:p>
    <w:p>
      <w:pPr>
        <w:pStyle w:val="ListBullet"/>
      </w:pPr>
      <w:r>
        <w:t>☐ Abonnement / souscription</w:t>
      </w:r>
    </w:p>
    <w:p>
      <w:pPr>
        <w:pStyle w:val="ListBullet"/>
      </w:pPr>
      <w:r>
        <w:t>☐ Location / leasing</w:t>
      </w:r>
    </w:p>
    <w:p>
      <w:pPr>
        <w:pStyle w:val="ListBullet"/>
      </w:pPr>
      <w:r>
        <w:t>☐ Appel d'offres public</w:t>
      </w:r>
    </w:p>
    <w:p>
      <w:pPr>
        <w:pStyle w:val="ListBullet"/>
      </w:pPr>
      <w:r>
        <w:t>☐ À discuter</w:t>
      </w:r>
    </w:p>
    <w:p>
      <w:r>
        <w:rPr>
          <w:b/>
          <w:color w:val="0B4D92"/>
          <w:sz w:val="36"/>
        </w:rPr>
        <w:t>6. Précisions libres</w:t>
      </w:r>
    </w:p>
    <w:p>
      <w:r>
        <w:rPr>
          <w:b/>
          <w:color w:val="333333"/>
          <w:sz w:val="22"/>
        </w:rPr>
        <w:t>Contexte, contraintes, incidents passés, projets en cours :</w:t>
      </w:r>
    </w:p>
    <w:p>
      <w:r>
        <w:rPr>
          <w:sz w:val="22"/>
        </w:rPr>
        <w:t>______________________________________________________________________</w:t>
      </w:r>
    </w:p>
    <w:p>
      <w:r>
        <w:rPr>
          <w:sz w:val="22"/>
        </w:rPr>
        <w:t>______________________________________________________________________</w:t>
      </w:r>
    </w:p>
    <w:p>
      <w:r>
        <w:rPr>
          <w:sz w:val="22"/>
        </w:rPr>
        <w:t>______________________________________________________________________</w:t>
      </w:r>
    </w:p>
    <w:p>
      <w:r>
        <w:rPr>
          <w:sz w:val="22"/>
        </w:rPr>
        <w:t>______________________________________________________________________</w:t>
      </w:r>
    </w:p>
    <w:p>
      <w:r>
        <w:rPr>
          <w:sz w:val="22"/>
        </w:rPr>
        <w:t>______________________________________________________________________</w:t>
      </w:r>
    </w:p>
    <w:p>
      <w:r>
        <w:rPr>
          <w:sz w:val="22"/>
        </w:rPr>
        <w:t>______________________________________________________________________</w:t>
      </w:r>
    </w:p>
    <w:tbl>
      <w:tblPr>
        <w:tblStyle w:val="TableGrid"/>
        <w:tblW w:type="auto" w:w="0"/>
        <w:tblLook w:firstColumn="1" w:firstRow="1" w:lastColumn="0" w:lastRow="0" w:noHBand="0" w:noVBand="1" w:val="04A0"/>
      </w:tblPr>
      <w:tblGrid>
        <w:gridCol w:w="9972"/>
      </w:tblGrid>
      <w:tr>
        <w:tc>
          <w:tcPr>
            <w:tcW w:type="dxa" w:w="9972"/>
          </w:tcPr>
          <w:p>
            <w:r>
              <w:rPr>
                <w:color w:val="333333"/>
                <w:sz w:val="18"/>
              </w:rPr>
              <w:t>ℹ  LynxVision traite des données biométriques et comportementales, encadrées par la loi camerounaise n° 2024/017 sur la protection des données à caractère personnel. Toute identification produite par le système est une aide à la décision : la décision finale appartient toujours à un opérateur humain. Notre étude de site inclut systématiquement le volet conformité.</w:t>
            </w:r>
          </w:p>
        </w:tc>
      </w:tr>
    </w:tbl>
    <w:p/>
    <w:p>
      <w:r>
        <w:rPr>
          <w:color w:val="6C90B5"/>
          <w:sz w:val="18"/>
        </w:rPr>
        <w:t>Formulaire à renvoyer à contact@enix.cm — ou à remplir en ligne sur enixcompany.com/produits/lynxvision/devis</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