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Fortinet — Devis Security Fabric</w:t>
      </w:r>
    </w:p>
    <w:p>
      <w:pPr>
        <w:jc w:val="center"/>
      </w:pPr>
      <w:r>
        <w:rPr>
          <w:i/>
        </w:rPr>
        <w:t>Partenaire Fortinet au Cameroun — FortiGate, FortiSwitch, FortiAP, FortiClient, FortiMail, FortiEDR, FortiSIEM.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ENIX est partenaire Fortinet pour l'ensemble de la Fabric : pare-feux FortiGate, switches FortiSwitch, bornes FortiAP, FortiEDR, FortiSIEM, FortiMail, FortiAnalyzer, FortiManager. Nous réalisons également les architectures SD-WAN et Zero-Trust complètes.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Produits Fortinet souhaités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FortiGate (NGFW)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FortiSwitch (switching)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FortiAP (Wi-Fi)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FortiClient (EPP/ZTNA)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FortiEDR / FortiXDR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FortiMail (email security)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FortiSIEM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FortiAnalyzer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FortiManager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FortiWeb (WAF)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FortiSandbox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FortiAuthenticator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SD-WAN</w:t>
      </w:r>
    </w:p>
    <w:p>
      <w:r>
        <w:rPr>
          <w:b/>
          <w:color w:val="333333"/>
          <w:sz w:val="22"/>
        </w:rPr>
        <w:t xml:space="preserve">Nombre de sites à équiper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site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à 5 sites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 à 20 sites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20 à 100 sites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100 sites</w:t>
      </w:r>
    </w:p>
    <w:p>
      <w:r>
        <w:rPr>
          <w:b/>
          <w:color w:val="333333"/>
          <w:sz w:val="22"/>
        </w:rPr>
        <w:t xml:space="preserve">Débit Internet / capacité attendue par site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100 Mbps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100–500 Mbps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Mbps – 1 Gbps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1–10 Gbps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10 Gbps</w:t>
      </w:r>
    </w:p>
    <w:p>
      <w:r>
        <w:rPr>
          <w:b/>
          <w:color w:val="333333"/>
          <w:sz w:val="22"/>
        </w:rPr>
        <w:t xml:space="preserve">Nombre d'utilisateurs à couvrir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à 50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 à 200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200 à 1000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1000 à 5000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5000</w:t>
      </w:r>
    </w:p>
    <w:p>
      <w:r>
        <w:rPr>
          <w:b/>
          <w:color w:val="333333"/>
          <w:sz w:val="22"/>
        </w:rPr>
        <w:t xml:space="preserve">Type de projet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Nouvelle implémentation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Remplacement équipements existants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Extension de parc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Renouvellement de licences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Architecture SD-WAN multi-sites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Architecture Zero-Trust</w:t>
      </w:r>
    </w:p>
    <w:p>
      <w:r>
        <w:rPr>
          <w:b/>
          <w:color w:val="333333"/>
          <w:sz w:val="22"/>
        </w:rPr>
        <w:t xml:space="preserve">Services associés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Architecture + HLD/LLD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Installation sur site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Configuration policies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Migration depuis autre fabricant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Supervision managée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Support 24/7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Formation administrateurs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