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B4D92"/>
          <w:sz w:val="40"/>
        </w:rPr>
        <w:t>ENIX SARL</w:t>
      </w:r>
    </w:p>
    <w:p>
      <w:r>
        <w:rPr>
          <w:color w:val="6C90B5"/>
          <w:sz w:val="28"/>
        </w:rPr>
        <w:t>FleetVision — Étude de parc et devis</w:t>
      </w:r>
    </w:p>
    <w:p>
      <w:r>
        <w:t>Vidéoprotection intelligente et incivisme routier : lecture automatique des plaques, suivi des véhicules, constat opposable validé par un agent assermenté.</w:t>
      </w:r>
    </w:p>
    <w:p/>
    <w:p>
      <w:r>
        <w:rPr>
          <w:b/>
          <w:color w:val="0B4D92"/>
          <w:sz w:val="36"/>
        </w:rPr>
        <w:t>1. Identité de l'organisation</w:t>
      </w:r>
    </w:p>
    <w:p>
      <w:pPr>
        <w:spacing w:after="0"/>
      </w:pPr>
      <w:r>
        <w:rPr>
          <w:b/>
          <w:color w:val="333333"/>
          <w:sz w:val="22"/>
        </w:rPr>
        <w:t xml:space="preserve">Nom de l'organisme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Personne de contact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Fonction / Rôle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Email professionnel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Téléphone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Ville / Localité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Pays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2. Nature de l'organisation</w:t>
      </w:r>
    </w:p>
    <w:p>
      <w:pPr>
        <w:pStyle w:val="ListBullet"/>
      </w:pPr>
      <w:r>
        <w:t>☐  Mairie / Collectivité territoriale</w:t>
      </w:r>
    </w:p>
    <w:p>
      <w:pPr>
        <w:pStyle w:val="ListBullet"/>
      </w:pPr>
      <w:r>
        <w:t>☐  Administration ou service de l'État</w:t>
      </w:r>
    </w:p>
    <w:p>
      <w:pPr>
        <w:pStyle w:val="ListBullet"/>
      </w:pPr>
      <w:r>
        <w:t>☐  Force de sécurité / Police / Gendarmerie</w:t>
      </w:r>
    </w:p>
    <w:p>
      <w:pPr>
        <w:pStyle w:val="ListBullet"/>
      </w:pPr>
      <w:r>
        <w:t>☐  Exploitant d'infrastructure (port, aéroport, péage)</w:t>
      </w:r>
    </w:p>
    <w:p>
      <w:pPr>
        <w:pStyle w:val="ListBullet"/>
      </w:pPr>
      <w:r>
        <w:t>☐  Entreprise privée</w:t>
      </w:r>
    </w:p>
    <w:p>
      <w:pPr>
        <w:pStyle w:val="ListBullet"/>
      </w:pPr>
      <w:r>
        <w:t>☐  Site industriel ou plateforme logistique</w:t>
      </w:r>
    </w:p>
    <w:p>
      <w:pPr>
        <w:pStyle w:val="ListBullet"/>
      </w:pPr>
      <w:r>
        <w:t>☐  Autre</w:t>
      </w:r>
    </w:p>
    <w:p/>
    <w:p>
      <w:r>
        <w:rPr>
          <w:b/>
          <w:color w:val="0B4D92"/>
          <w:sz w:val="36"/>
        </w:rPr>
        <w:t>3. Périmètre recherché</w:t>
      </w:r>
    </w:p>
    <w:p>
      <w:pPr>
        <w:pStyle w:val="ListBullet"/>
      </w:pPr>
      <w:r>
        <w:t>☐  Incivisme routier sur la voie publique</w:t>
      </w:r>
    </w:p>
    <w:p>
      <w:pPr>
        <w:pStyle w:val="ListBullet"/>
      </w:pPr>
      <w:r>
        <w:t>☐  Contrôle des accès véhicules d'un site privé</w:t>
      </w:r>
    </w:p>
    <w:p>
      <w:pPr>
        <w:pStyle w:val="ListBullet"/>
      </w:pPr>
      <w:r>
        <w:t>☐  Supervision générale du parc de caméras</w:t>
      </w:r>
    </w:p>
    <w:p>
      <w:pPr>
        <w:pStyle w:val="ListBullet"/>
      </w:pPr>
      <w:r>
        <w:t>☐  Les trois</w:t>
      </w:r>
    </w:p>
    <w:p/>
    <w:p>
      <w:r>
        <w:rPr>
          <w:b/>
          <w:color w:val="0B4D92"/>
          <w:sz w:val="36"/>
        </w:rPr>
        <w:t>4. Le parc de caméras</w:t>
      </w:r>
    </w:p>
    <w:p>
      <w:pPr>
        <w:spacing w:after="0"/>
      </w:pPr>
      <w:r>
        <w:rPr>
          <w:b/>
          <w:color w:val="333333"/>
          <w:sz w:val="22"/>
        </w:rPr>
        <w:t xml:space="preserve">Nombre de caméras déjà installées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Marque et modèle principaux (si connus)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Nombre de caméras à ajouter (estimation)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Nombre de sites ou de zones concernés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Nombre de carrefours à feux à équiper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Enregistreur ou logiciel actuel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5. Volumétrie</w:t>
      </w:r>
    </w:p>
    <w:p>
      <w:pPr>
        <w:spacing w:after="0"/>
      </w:pPr>
      <w:r>
        <w:rPr>
          <w:b/>
          <w:color w:val="333333"/>
          <w:sz w:val="22"/>
        </w:rPr>
        <w:t xml:space="preserve">Véhicules par jour (estimation)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Heures de pointe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Durée de conservation souhaitée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6. Infractions visées</w:t>
      </w:r>
    </w:p>
    <w:p>
      <w:pPr>
        <w:pStyle w:val="ListBullet"/>
      </w:pPr>
      <w:r>
        <w:t>☐  Stationnement en zone interdite</w:t>
      </w:r>
    </w:p>
    <w:p>
      <w:pPr>
        <w:pStyle w:val="ListBullet"/>
      </w:pPr>
      <w:r>
        <w:t>☐  Stationnement gênant (passage piéton, arrêt de bus, entrée carrossable, double file)</w:t>
      </w:r>
    </w:p>
    <w:p>
      <w:pPr>
        <w:pStyle w:val="ListBullet"/>
      </w:pPr>
      <w:r>
        <w:t>☐  Arrêt ou stationnement sur passage piéton</w:t>
      </w:r>
    </w:p>
    <w:p>
      <w:pPr>
        <w:pStyle w:val="ListBullet"/>
      </w:pPr>
      <w:r>
        <w:t>☐  Circulation ou stationnement sur trottoir ou voie réservée</w:t>
      </w:r>
    </w:p>
    <w:p>
      <w:pPr>
        <w:pStyle w:val="ListBullet"/>
      </w:pPr>
      <w:r>
        <w:t>☐  Circulation en sens interdit</w:t>
      </w:r>
    </w:p>
    <w:p>
      <w:pPr>
        <w:pStyle w:val="ListBullet"/>
      </w:pPr>
      <w:r>
        <w:t>☐  Non-respect du feu rouge</w:t>
      </w:r>
    </w:p>
    <w:p>
      <w:pPr>
        <w:pStyle w:val="ListBullet"/>
      </w:pPr>
      <w:r>
        <w:t>☐  Franchissement de ligne continue</w:t>
      </w:r>
    </w:p>
    <w:p>
      <w:pPr>
        <w:pStyle w:val="ListBullet"/>
      </w:pPr>
      <w:r>
        <w:t>☐  Excès de vitesse</w:t>
      </w:r>
    </w:p>
    <w:p>
      <w:pPr>
        <w:pStyle w:val="ListBullet"/>
      </w:pPr>
      <w:r>
        <w:t>☐  Autres (à préciser)</w:t>
      </w:r>
    </w:p>
    <w:p>
      <w:pPr>
        <w:spacing w:after="0"/>
      </w:pPr>
      <w:r>
        <w:rPr>
          <w:b/>
          <w:color w:val="333333"/>
          <w:sz w:val="22"/>
        </w:rPr>
        <w:t xml:space="preserve">Autres infractions à couvrir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7. Fonctions prioritaires</w:t>
      </w:r>
    </w:p>
    <w:p>
      <w:pPr>
        <w:pStyle w:val="ListBullet"/>
      </w:pPr>
      <w:r>
        <w:t>☐  Vue en direct de toutes les caméras</w:t>
      </w:r>
    </w:p>
    <w:p>
      <w:pPr>
        <w:pStyle w:val="ListBullet"/>
      </w:pPr>
      <w:r>
        <w:t>☐  Journal des passages et exports</w:t>
      </w:r>
    </w:p>
    <w:p>
      <w:pPr>
        <w:pStyle w:val="ListBullet"/>
      </w:pPr>
      <w:r>
        <w:t>☐  Parcours d'un véhicule sur l'ensemble du parc</w:t>
      </w:r>
    </w:p>
    <w:p>
      <w:pPr>
        <w:pStyle w:val="ListBullet"/>
      </w:pPr>
      <w:r>
        <w:t>☐  Suivi de plusieurs véhicules à la fois</w:t>
      </w:r>
    </w:p>
    <w:p>
      <w:pPr>
        <w:pStyle w:val="ListBullet"/>
      </w:pPr>
      <w:r>
        <w:t>☐  Recherche à partir d'une photo de véhicule</w:t>
      </w:r>
    </w:p>
    <w:p>
      <w:pPr>
        <w:pStyle w:val="ListBullet"/>
      </w:pPr>
      <w:r>
        <w:t>☐  Registre officiel des infractions</w:t>
      </w:r>
    </w:p>
    <w:p>
      <w:pPr>
        <w:pStyle w:val="ListBullet"/>
      </w:pPr>
      <w:r>
        <w:t>☐  Notification du contrevenant par message</w:t>
      </w:r>
    </w:p>
    <w:p>
      <w:pPr>
        <w:pStyle w:val="ListBullet"/>
      </w:pPr>
      <w:r>
        <w:t>☐  Gestion de la flotte et des propriétaires</w:t>
      </w:r>
    </w:p>
    <w:p>
      <w:pPr>
        <w:pStyle w:val="ListBullet"/>
      </w:pPr>
      <w:r>
        <w:t>☐  Codes d'accès imprimables pour visiteurs et prestataires</w:t>
      </w:r>
    </w:p>
    <w:p>
      <w:pPr>
        <w:pStyle w:val="ListBullet"/>
      </w:pPr>
      <w:r>
        <w:t>☐  Statistiques de fréquentation et de flux</w:t>
      </w:r>
    </w:p>
    <w:p/>
    <w:p>
      <w:r>
        <w:rPr>
          <w:b/>
          <w:color w:val="0B4D92"/>
          <w:sz w:val="36"/>
        </w:rPr>
        <w:t>8. Organisation et cadre</w:t>
      </w:r>
    </w:p>
    <w:p>
      <w:pPr>
        <w:spacing w:after="0"/>
      </w:pPr>
      <w:r>
        <w:rPr>
          <w:b/>
          <w:color w:val="333333"/>
          <w:sz w:val="22"/>
        </w:rPr>
        <w:t xml:space="preserve">Agent assermenté désigné (oui / non / à mettre en place)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Service responsable de l'exploitation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Montants et catalogue des infractions applicables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Format des plaques et pays de référence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9. Infrastructure existante</w:t>
      </w:r>
    </w:p>
    <w:p>
      <w:pPr>
        <w:spacing w:after="0"/>
      </w:pPr>
      <w:r>
        <w:rPr>
          <w:b/>
          <w:color w:val="333333"/>
          <w:sz w:val="22"/>
        </w:rPr>
        <w:t xml:space="preserve">Local technique ou salle serveur disponible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Serveur déjà en place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Qualité du lien réseau entre caméras et serveur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Alimentation électrique (coupures, groupe, onduleurs)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Fichier de flotte existant à reprendre (format) : </w:t>
      </w:r>
    </w:p>
    <w:p>
      <w:r>
        <w:rPr>
          <w:sz w:val="22"/>
        </w:rPr>
        <w:t>____________________________________________________________</w:t>
      </w:r>
    </w:p>
    <w:p/>
    <w:p>
      <w:r>
        <w:rPr>
          <w:b/>
          <w:color w:val="0B4D92"/>
          <w:sz w:val="36"/>
        </w:rPr>
        <w:t>10. Contexte et attentes</w:t>
      </w:r>
    </w:p>
    <w:p>
      <w:pPr>
        <w:spacing w:after="0"/>
      </w:pPr>
      <w:r>
        <w:rPr>
          <w:b/>
          <w:color w:val="333333"/>
          <w:sz w:val="22"/>
        </w:rPr>
        <w:t xml:space="preserve">Objectif prioritaire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Échéance souhaitée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 xml:space="preserve">Budget indicatif : </w:t>
      </w:r>
    </w:p>
    <w:p>
      <w:r>
        <w:rPr>
          <w:sz w:val="22"/>
        </w:rPr>
        <w:t>____________________________________________________________</w:t>
      </w:r>
    </w:p>
    <w:p>
      <w:pPr>
        <w:spacing w:after="0"/>
      </w:pPr>
      <w:r>
        <w:rPr>
          <w:b/>
          <w:color w:val="333333"/>
          <w:sz w:val="22"/>
        </w:rPr>
        <w:t>Précisions libres :</w:t>
      </w:r>
    </w:p>
    <w:p>
      <w:r>
        <w:rPr>
          <w:sz w:val="22"/>
        </w:rPr>
        <w:t>____________________________________________________________</w:t>
      </w:r>
    </w:p>
    <w:p>
      <w:r>
        <w:rPr>
          <w:sz w:val="22"/>
        </w:rPr>
        <w:t>____________________________________________________________</w:t>
      </w:r>
    </w:p>
    <w:p>
      <w:r>
        <w:rPr>
          <w:sz w:val="22"/>
        </w:rPr>
        <w:t>____________________________________________________________</w:t>
      </w:r>
    </w:p>
    <w:p>
      <w:r>
        <w:rPr>
          <w:sz w:val="22"/>
        </w:rPr>
        <w:t>____________________________________________________________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>
            <w:r/>
            <w:r>
              <w:rPr>
                <w:b/>
                <w:color w:val="0B4D92"/>
                <w:sz w:val="20"/>
              </w:rPr>
              <w:t xml:space="preserve">Cadre légal — </w:t>
            </w:r>
            <w:r>
              <w:rPr>
                <w:sz w:val="20"/>
              </w:rPr>
              <w:t>FleetVision traite des données relatives aux véhicules et à leurs propriétaires. Leur usage est encadré au Cameroun par la loi n° 2024/017 sur la protection des données à caractère personnel. Notre étude de parc inclut systématiquement le volet conformité : finalités, bases légales, durées de conservation, information des personnes et rôle de l'agent assermenté dans la validation des constats.</w:t>
            </w:r>
          </w:p>
        </w:tc>
      </w:tr>
    </w:tbl>
    <w:p/>
    <w:p>
      <w:r>
        <w:rPr>
          <w:color w:val="6C90B5"/>
          <w:sz w:val="20"/>
        </w:rPr>
        <w:t>Formulaire à retourner à : contact@enix.cm — ENIX SARL, Yaoundé, Cameroun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