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Elcomsoft — Devis Laboratoire Forensic</w:t>
      </w:r>
    </w:p>
    <w:p>
      <w:pPr>
        <w:jc w:val="center"/>
      </w:pPr>
      <w:r>
        <w:rPr>
          <w:i/>
        </w:rPr>
        <w:t>Partenaire Elcomsoft au Cameroun — suite forensic numérique : smartphones, cloud, chiffrement, mots de passe.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ENIX équipe les laboratoires forensic des forces de sécurité et grandes institutions avec les suites Elcomsoft : extraction iPhone/Android, récupération cloud iCloud/Google, cassage de chiffrement, analyse mots de passe. Livraison + formation + support.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Produit Elcomsoft souhaité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iOS Forensic Toolkit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Android Forensic Toolkit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Cloud Explorer (iCloud + Google)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Password Recovery Bundle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Phone Viewer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Forensic Disk Decryptor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Distributed Password Recovery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Premium Forensic Bundle (tous)</w:t>
      </w:r>
    </w:p>
    <w:p>
      <w:r>
        <w:rPr>
          <w:b/>
          <w:color w:val="333333"/>
          <w:sz w:val="22"/>
        </w:rPr>
        <w:t xml:space="preserve">Cadre d'utilisation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Laboratoire police / gendarmerie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Laboratoire armée / défense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Enquête privée agréée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Audit interne entreprise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Recherche académique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</w:t>
      </w:r>
    </w:p>
    <w:p>
      <w:r>
        <w:rPr>
          <w:b/>
          <w:color w:val="333333"/>
          <w:sz w:val="22"/>
        </w:rPr>
        <w:t xml:space="preserve">Nombre de postes analystes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à 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15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15</w:t>
      </w:r>
    </w:p>
    <w:p>
      <w:r>
        <w:rPr>
          <w:b/>
          <w:color w:val="333333"/>
          <w:sz w:val="22"/>
        </w:rPr>
        <w:t xml:space="preserve">Type de licence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Nouvelle licence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Renouvellement annuel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Upgrade vers version supérieure</w:t>
      </w:r>
    </w:p>
    <w:p>
      <w:r>
        <w:rPr>
          <w:b/>
          <w:color w:val="333333"/>
          <w:sz w:val="22"/>
        </w:rPr>
        <w:t xml:space="preserve">Équipements d'analyse souhaités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Station forensic Mozak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Câbles d'extraction dédiés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Write-blockers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Chambre anti-bruit / cage de Faraday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Baie de stockage scellée</w:t>
      </w:r>
    </w:p>
    <w:p>
      <w:r>
        <w:rPr>
          <w:b/>
          <w:color w:val="333333"/>
          <w:sz w:val="22"/>
        </w:rPr>
        <w:t xml:space="preserve">Formation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Aucune (équipe déjà formée)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Prise en main 2 jours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Certification forensic complète (2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Certification ENIX Military Investigator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