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Laboratoire CYDEF — Partenariat R&amp;D</w:t>
      </w:r>
    </w:p>
    <w:p>
      <w:pPr>
        <w:jc w:val="center"/>
      </w:pPr>
      <w:r>
        <w:rPr>
          <w:i/>
        </w:rPr>
        <w:t>Accès au laboratoire de cyberdéfense ENIX : cyber-range, plateformes d'essai, stages, contrats de recherche.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Le laboratoire CYDEF met à disposition des équipes opérationnelles, académiques et étatiques un cyber-range de nouvelle génération, des bancs d'essai produit, et un écosystème de chercheurs. Plusieurs modes d'accès : exercices courts, stages, contrats de R&amp;D, co-développement produit.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Mode d'accès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Exercice cyber-range (1–5 jours)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Session d'entraînement équipe (1–4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Stage étudiant (1–6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Contrat de recherche (6–24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Co-développement produit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de plateforme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</w:t>
      </w:r>
    </w:p>
    <w:p>
      <w:r>
        <w:rPr>
          <w:b/>
          <w:color w:val="333333"/>
          <w:sz w:val="22"/>
        </w:rPr>
        <w:t xml:space="preserve">Nombre de participants / chercheurs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15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15 à 40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40</w:t>
      </w:r>
    </w:p>
    <w:p>
      <w:r>
        <w:rPr>
          <w:b/>
          <w:color w:val="333333"/>
          <w:sz w:val="22"/>
        </w:rPr>
        <w:t xml:space="preserve">Thématiques d'intérêt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Détection d'intrusion avancée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Ingénierie inverse malware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OT / SCADA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IoT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IA défensive / offensive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Post-quantique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Cryptographie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mobile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Blockchain / DLT</w:t>
      </w:r>
    </w:p>
    <w:p>
      <w:r>
        <w:rPr>
          <w:b/>
          <w:color w:val="333333"/>
          <w:sz w:val="22"/>
        </w:rPr>
        <w:t xml:space="preserve">Profil des participants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Livrables attendus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Rapport technique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Publication scientifique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Démonstrateur logiciel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Brevet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certifiante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POC produit</w:t>
      </w:r>
    </w:p>
    <w:p>
      <w:r>
        <w:rPr>
          <w:b/>
          <w:color w:val="333333"/>
          <w:sz w:val="22"/>
        </w:rPr>
        <w:t xml:space="preserve">Cadre de financement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Budget propre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Projet MINESUP / MINRESI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Financement bailleur (BAD, BM, UE...)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Partenariat public-privé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