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B4D92"/>
          <w:sz w:val="40"/>
        </w:rPr>
        <w:t>ENIX SARL</w:t>
      </w:r>
    </w:p>
    <w:p>
      <w:pPr>
        <w:jc w:val="center"/>
      </w:pPr>
      <w:r>
        <w:rPr>
          <w:color w:val="6C90B5"/>
          <w:sz w:val="28"/>
        </w:rPr>
        <w:t>Bitdefender — Devis GravityZone</w:t>
      </w:r>
    </w:p>
    <w:p>
      <w:pPr>
        <w:jc w:val="center"/>
      </w:pPr>
      <w:r>
        <w:rPr>
          <w:i/>
        </w:rPr>
        <w:t>Revendeur Bitdefender au Cameroun — licences GravityZone Business Security, Premium, EDR, XDR, MDR.</w:t>
      </w:r>
    </w:p>
    <w:tbl>
      <w:tblPr>
        <w:tblW w:type="auto" w:w="0"/>
        <w:tblLayout w:type="autofit"/>
        <w:tblLook w:firstColumn="1" w:firstRow="1" w:lastColumn="0" w:lastRow="0" w:noHBand="0" w:noVBand="1" w:val="04A0"/>
      </w:tblPr>
      <w:tblGrid>
        <w:gridCol w:w="9972"/>
      </w:tblGrid>
      <w:tr>
        <w:tc>
          <w:tcPr>
            <w:tcW w:type="dxa" w:w="9972"/>
            <w:shd w:val="clear" w:color="auto" w:fill="EAF2FB"/>
          </w:tcPr>
          <w:p>
            <w:r>
              <w:rPr>
                <w:b/>
              </w:rPr>
              <w:t xml:space="preserve">ℹ </w:t>
            </w:r>
            <w:r>
              <w:rPr>
                <w:sz w:val="20"/>
              </w:rPr>
              <w:t>ENIX est partenaire officiel Bitdefender pour l'Afrique centrale. Nous livrons GravityZone Business Security, Premium, Elite, ainsi que les modules EDR, XDR et MDR. Ce formulaire nous permet de chiffrer précisément votre volumétrie et votre niveau de service.</w:t>
            </w:r>
          </w:p>
        </w:tc>
      </w:tr>
    </w:tbl>
    <w:p/>
    <w:p>
      <w:pPr>
        <w:spacing w:before="240" w:after="80"/>
      </w:pPr>
      <w:r>
        <w:rPr>
          <w:b/>
          <w:color w:val="0B4D92"/>
          <w:sz w:val="36"/>
        </w:rPr>
        <w:t>1. Identité de l'organisation</w:t>
      </w:r>
    </w:p>
    <w:p>
      <w:r>
        <w:rPr>
          <w:b/>
          <w:color w:val="333333"/>
          <w:sz w:val="22"/>
        </w:rPr>
        <w:t xml:space="preserve">Nom de l'organisme : </w:t>
      </w:r>
    </w:p>
    <w:p>
      <w:pPr>
        <w:spacing w:after="0"/>
      </w:pPr>
      <w:r>
        <w:rPr>
          <w:sz w:val="22"/>
        </w:rPr>
        <w:t>______________________________________________________________________</w:t>
      </w:r>
    </w:p>
    <w:p>
      <w:r>
        <w:rPr>
          <w:b/>
          <w:color w:val="333333"/>
          <w:sz w:val="22"/>
        </w:rPr>
        <w:t xml:space="preserve">Personne de contact : </w:t>
      </w:r>
    </w:p>
    <w:p>
      <w:pPr>
        <w:spacing w:after="0"/>
      </w:pPr>
      <w:r>
        <w:rPr>
          <w:sz w:val="22"/>
        </w:rPr>
        <w:t>______________________________________________________________________</w:t>
      </w:r>
    </w:p>
    <w:p>
      <w:r>
        <w:rPr>
          <w:b/>
          <w:color w:val="333333"/>
          <w:sz w:val="22"/>
        </w:rPr>
        <w:t xml:space="preserve">Fonction / Rôle : </w:t>
      </w:r>
    </w:p>
    <w:p>
      <w:pPr>
        <w:spacing w:after="0"/>
      </w:pPr>
      <w:r>
        <w:rPr>
          <w:sz w:val="22"/>
        </w:rPr>
        <w:t>______________________________________________________________________</w:t>
      </w:r>
    </w:p>
    <w:p>
      <w:r>
        <w:rPr>
          <w:b/>
          <w:color w:val="333333"/>
          <w:sz w:val="22"/>
        </w:rPr>
        <w:t xml:space="preserve">Email professionnel : </w:t>
      </w:r>
    </w:p>
    <w:p>
      <w:pPr>
        <w:spacing w:after="0"/>
      </w:pPr>
      <w:r>
        <w:rPr>
          <w:sz w:val="22"/>
        </w:rPr>
        <w:t>______________________________________________________________________</w:t>
      </w:r>
    </w:p>
    <w:p>
      <w:r>
        <w:rPr>
          <w:b/>
          <w:color w:val="333333"/>
          <w:sz w:val="22"/>
        </w:rPr>
        <w:t xml:space="preserve">Téléphone : </w:t>
      </w:r>
    </w:p>
    <w:p>
      <w:pPr>
        <w:spacing w:after="0"/>
      </w:pPr>
      <w:r>
        <w:rPr>
          <w:sz w:val="22"/>
        </w:rPr>
        <w:t>______________________________________________________________________</w:t>
      </w:r>
    </w:p>
    <w:p>
      <w:r>
        <w:rPr>
          <w:b/>
          <w:color w:val="333333"/>
          <w:sz w:val="22"/>
        </w:rPr>
        <w:t xml:space="preserve">Site web / LinkedIn : </w:t>
      </w:r>
    </w:p>
    <w:p>
      <w:pPr>
        <w:spacing w:after="0"/>
      </w:pPr>
      <w:r>
        <w:rPr>
          <w:sz w:val="22"/>
        </w:rPr>
        <w:t>______________________________________________________________________</w:t>
      </w:r>
    </w:p>
    <w:p>
      <w:r>
        <w:rPr>
          <w:b/>
          <w:color w:val="333333"/>
          <w:sz w:val="22"/>
        </w:rPr>
        <w:t xml:space="preserve">Ville : </w:t>
      </w:r>
    </w:p>
    <w:p>
      <w:pPr>
        <w:spacing w:after="0"/>
      </w:pPr>
      <w:r>
        <w:rPr>
          <w:sz w:val="22"/>
        </w:rPr>
        <w:t>______________________________________________________________________</w:t>
      </w:r>
    </w:p>
    <w:p>
      <w:r>
        <w:rPr>
          <w:b/>
          <w:color w:val="333333"/>
          <w:sz w:val="22"/>
        </w:rPr>
        <w:t xml:space="preserve">Pays (Cameroun par défaut) : </w:t>
      </w:r>
    </w:p>
    <w:p>
      <w:pPr>
        <w:spacing w:after="0"/>
      </w:pPr>
      <w:r>
        <w:rPr>
          <w:sz w:val="22"/>
        </w:rPr>
        <w:t>______________________________________________________________________</w:t>
      </w:r>
    </w:p>
    <w:p>
      <w:pPr>
        <w:spacing w:before="240" w:after="80"/>
      </w:pPr>
      <w:r>
        <w:rPr>
          <w:b/>
          <w:color w:val="0B4D92"/>
          <w:sz w:val="36"/>
        </w:rPr>
        <w:t>2. Détails du besoin</w:t>
      </w:r>
    </w:p>
    <w:p>
      <w:r>
        <w:rPr>
          <w:b/>
          <w:color w:val="333333"/>
          <w:sz w:val="22"/>
        </w:rPr>
        <w:t xml:space="preserve">Gamme Bitdefender souhaitée : </w:t>
      </w:r>
    </w:p>
    <w:p>
      <w:pPr>
        <w:pStyle w:val="ListBullet"/>
      </w:pPr>
      <w:r>
        <w:rPr>
          <w:sz w:val="22"/>
        </w:rPr>
        <w:t xml:space="preserve">☐ </w:t>
      </w:r>
      <w:r>
        <w:rPr>
          <w:sz w:val="22"/>
        </w:rPr>
        <w:t>GravityZone Business Security</w:t>
      </w:r>
    </w:p>
    <w:p>
      <w:pPr>
        <w:pStyle w:val="ListBullet"/>
      </w:pPr>
      <w:r>
        <w:rPr>
          <w:sz w:val="22"/>
        </w:rPr>
        <w:t xml:space="preserve">☐ </w:t>
      </w:r>
      <w:r>
        <w:rPr>
          <w:sz w:val="22"/>
        </w:rPr>
        <w:t>GravityZone Business Security Premium</w:t>
      </w:r>
    </w:p>
    <w:p>
      <w:pPr>
        <w:pStyle w:val="ListBullet"/>
      </w:pPr>
      <w:r>
        <w:rPr>
          <w:sz w:val="22"/>
        </w:rPr>
        <w:t xml:space="preserve">☐ </w:t>
      </w:r>
      <w:r>
        <w:rPr>
          <w:sz w:val="22"/>
        </w:rPr>
        <w:t>GravityZone Business Security Enterprise</w:t>
      </w:r>
    </w:p>
    <w:p>
      <w:pPr>
        <w:pStyle w:val="ListBullet"/>
      </w:pPr>
      <w:r>
        <w:rPr>
          <w:sz w:val="22"/>
        </w:rPr>
        <w:t xml:space="preserve">☐ </w:t>
      </w:r>
      <w:r>
        <w:rPr>
          <w:sz w:val="22"/>
        </w:rPr>
        <w:t>GravityZone Elite</w:t>
      </w:r>
    </w:p>
    <w:p>
      <w:pPr>
        <w:pStyle w:val="ListBullet"/>
      </w:pPr>
      <w:r>
        <w:rPr>
          <w:sz w:val="22"/>
        </w:rPr>
        <w:t xml:space="preserve">☐ </w:t>
      </w:r>
      <w:r>
        <w:rPr>
          <w:sz w:val="22"/>
        </w:rPr>
        <w:t>GravityZone XDR</w:t>
      </w:r>
    </w:p>
    <w:p>
      <w:pPr>
        <w:pStyle w:val="ListBullet"/>
      </w:pPr>
      <w:r>
        <w:rPr>
          <w:sz w:val="22"/>
        </w:rPr>
        <w:t xml:space="preserve">☐ </w:t>
      </w:r>
      <w:r>
        <w:rPr>
          <w:sz w:val="22"/>
        </w:rPr>
        <w:t>GravityZone MDR (service managé)</w:t>
      </w:r>
    </w:p>
    <w:p>
      <w:pPr>
        <w:pStyle w:val="ListBullet"/>
      </w:pPr>
      <w:r>
        <w:rPr>
          <w:sz w:val="22"/>
        </w:rPr>
        <w:t xml:space="preserve">☐ </w:t>
      </w:r>
      <w:r>
        <w:rPr>
          <w:sz w:val="22"/>
        </w:rPr>
        <w:t>Bitdefender Premium Security (particuliers/TPE)</w:t>
      </w:r>
    </w:p>
    <w:p>
      <w:pPr>
        <w:pStyle w:val="ListBullet"/>
      </w:pPr>
      <w:r>
        <w:rPr>
          <w:sz w:val="22"/>
        </w:rPr>
        <w:t xml:space="preserve">☐ </w:t>
      </w:r>
      <w:r>
        <w:rPr>
          <w:sz w:val="22"/>
        </w:rPr>
        <w:t>À conseiller</w:t>
      </w:r>
    </w:p>
    <w:p>
      <w:r>
        <w:rPr>
          <w:b/>
          <w:color w:val="333333"/>
          <w:sz w:val="22"/>
        </w:rPr>
        <w:t xml:space="preserve">Nombre de postes à protéger : </w:t>
      </w:r>
    </w:p>
    <w:p>
      <w:pPr>
        <w:pStyle w:val="ListBullet"/>
      </w:pPr>
      <w:r>
        <w:rPr>
          <w:sz w:val="22"/>
        </w:rPr>
        <w:t xml:space="preserve">☐ </w:t>
      </w:r>
      <w:r>
        <w:rPr>
          <w:sz w:val="22"/>
        </w:rPr>
        <w:t>1 à 25</w:t>
      </w:r>
    </w:p>
    <w:p>
      <w:pPr>
        <w:pStyle w:val="ListBullet"/>
      </w:pPr>
      <w:r>
        <w:rPr>
          <w:sz w:val="22"/>
        </w:rPr>
        <w:t xml:space="preserve">☐ </w:t>
      </w:r>
      <w:r>
        <w:rPr>
          <w:sz w:val="22"/>
        </w:rPr>
        <w:t>25 à 100</w:t>
      </w:r>
    </w:p>
    <w:p>
      <w:pPr>
        <w:pStyle w:val="ListBullet"/>
      </w:pPr>
      <w:r>
        <w:rPr>
          <w:sz w:val="22"/>
        </w:rPr>
        <w:t xml:space="preserve">☐ </w:t>
      </w:r>
      <w:r>
        <w:rPr>
          <w:sz w:val="22"/>
        </w:rPr>
        <w:t>100 à 500</w:t>
      </w:r>
    </w:p>
    <w:p>
      <w:pPr>
        <w:pStyle w:val="ListBullet"/>
      </w:pPr>
      <w:r>
        <w:rPr>
          <w:sz w:val="22"/>
        </w:rPr>
        <w:t xml:space="preserve">☐ </w:t>
      </w:r>
      <w:r>
        <w:rPr>
          <w:sz w:val="22"/>
        </w:rPr>
        <w:t>500 à 2000</w:t>
      </w:r>
    </w:p>
    <w:p>
      <w:pPr>
        <w:pStyle w:val="ListBullet"/>
      </w:pPr>
      <w:r>
        <w:rPr>
          <w:sz w:val="22"/>
        </w:rPr>
        <w:t xml:space="preserve">☐ </w:t>
      </w:r>
      <w:r>
        <w:rPr>
          <w:sz w:val="22"/>
        </w:rPr>
        <w:t>Plus de 2000</w:t>
      </w:r>
    </w:p>
    <w:p>
      <w:r>
        <w:rPr>
          <w:b/>
          <w:color w:val="333333"/>
          <w:sz w:val="22"/>
        </w:rPr>
        <w:t xml:space="preserve">Nombre de serveurs : </w:t>
      </w:r>
    </w:p>
    <w:p>
      <w:pPr>
        <w:spacing w:after="0"/>
      </w:pPr>
      <w:r>
        <w:rPr>
          <w:sz w:val="22"/>
        </w:rPr>
        <w:t>______________________________________________________________________</w:t>
      </w:r>
    </w:p>
    <w:p>
      <w:r>
        <w:rPr>
          <w:b/>
          <w:color w:val="333333"/>
          <w:sz w:val="22"/>
        </w:rPr>
        <w:t xml:space="preserve">Modules additionnels souhaités (cochez autant que nécessaire) : </w:t>
      </w:r>
    </w:p>
    <w:p>
      <w:pPr>
        <w:pStyle w:val="ListBullet"/>
      </w:pPr>
      <w:r>
        <w:rPr>
          <w:sz w:val="22"/>
        </w:rPr>
        <w:t xml:space="preserve">☐ </w:t>
      </w:r>
      <w:r>
        <w:rPr>
          <w:sz w:val="22"/>
        </w:rPr>
        <w:t>Patch Management</w:t>
      </w:r>
    </w:p>
    <w:p>
      <w:pPr>
        <w:pStyle w:val="ListBullet"/>
      </w:pPr>
      <w:r>
        <w:rPr>
          <w:sz w:val="22"/>
        </w:rPr>
        <w:t xml:space="preserve">☐ </w:t>
      </w:r>
      <w:r>
        <w:rPr>
          <w:sz w:val="22"/>
        </w:rPr>
        <w:t>Full Disk Encryption</w:t>
      </w:r>
    </w:p>
    <w:p>
      <w:pPr>
        <w:pStyle w:val="ListBullet"/>
      </w:pPr>
      <w:r>
        <w:rPr>
          <w:sz w:val="22"/>
        </w:rPr>
        <w:t xml:space="preserve">☐ </w:t>
      </w:r>
      <w:r>
        <w:rPr>
          <w:sz w:val="22"/>
        </w:rPr>
        <w:t>Email Security</w:t>
      </w:r>
    </w:p>
    <w:p>
      <w:pPr>
        <w:pStyle w:val="ListBullet"/>
      </w:pPr>
      <w:r>
        <w:rPr>
          <w:sz w:val="22"/>
        </w:rPr>
        <w:t xml:space="preserve">☐ </w:t>
      </w:r>
      <w:r>
        <w:rPr>
          <w:sz w:val="22"/>
        </w:rPr>
        <w:t>Security for Mobile</w:t>
      </w:r>
    </w:p>
    <w:p>
      <w:pPr>
        <w:pStyle w:val="ListBullet"/>
      </w:pPr>
      <w:r>
        <w:rPr>
          <w:sz w:val="22"/>
        </w:rPr>
        <w:t xml:space="preserve">☐ </w:t>
      </w:r>
      <w:r>
        <w:rPr>
          <w:sz w:val="22"/>
        </w:rPr>
        <w:t>Sandbox Analyzer</w:t>
      </w:r>
    </w:p>
    <w:p>
      <w:pPr>
        <w:pStyle w:val="ListBullet"/>
      </w:pPr>
      <w:r>
        <w:rPr>
          <w:sz w:val="22"/>
        </w:rPr>
        <w:t xml:space="preserve">☐ </w:t>
      </w:r>
      <w:r>
        <w:rPr>
          <w:sz w:val="22"/>
        </w:rPr>
        <w:t>Network Traffic Analytics</w:t>
      </w:r>
    </w:p>
    <w:p>
      <w:pPr>
        <w:pStyle w:val="ListBullet"/>
      </w:pPr>
      <w:r>
        <w:rPr>
          <w:sz w:val="22"/>
        </w:rPr>
        <w:t xml:space="preserve">☐ </w:t>
      </w:r>
      <w:r>
        <w:rPr>
          <w:sz w:val="22"/>
        </w:rPr>
        <w:t>Managed Detection &amp; Response (MDR)</w:t>
      </w:r>
    </w:p>
    <w:p>
      <w:r>
        <w:rPr>
          <w:b/>
          <w:color w:val="333333"/>
          <w:sz w:val="22"/>
        </w:rPr>
        <w:t xml:space="preserve">Type de licence : </w:t>
      </w:r>
    </w:p>
    <w:p>
      <w:pPr>
        <w:pStyle w:val="ListBullet"/>
      </w:pPr>
      <w:r>
        <w:rPr>
          <w:sz w:val="22"/>
        </w:rPr>
        <w:t xml:space="preserve">☐ </w:t>
      </w:r>
      <w:r>
        <w:rPr>
          <w:sz w:val="22"/>
        </w:rPr>
        <w:t>Nouvelle licence</w:t>
      </w:r>
    </w:p>
    <w:p>
      <w:pPr>
        <w:pStyle w:val="ListBullet"/>
      </w:pPr>
      <w:r>
        <w:rPr>
          <w:sz w:val="22"/>
        </w:rPr>
        <w:t xml:space="preserve">☐ </w:t>
      </w:r>
      <w:r>
        <w:rPr>
          <w:sz w:val="22"/>
        </w:rPr>
        <w:t>Renouvellement</w:t>
      </w:r>
    </w:p>
    <w:p>
      <w:pPr>
        <w:pStyle w:val="ListBullet"/>
      </w:pPr>
      <w:r>
        <w:rPr>
          <w:sz w:val="22"/>
        </w:rPr>
        <w:t xml:space="preserve">☐ </w:t>
      </w:r>
      <w:r>
        <w:rPr>
          <w:sz w:val="22"/>
        </w:rPr>
        <w:t>Migration depuis un autre antivirus</w:t>
      </w:r>
    </w:p>
    <w:p>
      <w:pPr>
        <w:pStyle w:val="ListBullet"/>
      </w:pPr>
      <w:r>
        <w:rPr>
          <w:sz w:val="22"/>
        </w:rPr>
        <w:t xml:space="preserve">☐ </w:t>
      </w:r>
      <w:r>
        <w:rPr>
          <w:sz w:val="22"/>
        </w:rPr>
        <w:t>Extension de parc existant</w:t>
      </w:r>
    </w:p>
    <w:p>
      <w:r>
        <w:rPr>
          <w:b/>
          <w:color w:val="333333"/>
          <w:sz w:val="22"/>
        </w:rPr>
        <w:t xml:space="preserve">Si renouvellement, éditeur actuel : </w:t>
      </w:r>
    </w:p>
    <w:p>
      <w:pPr>
        <w:spacing w:after="0"/>
      </w:pPr>
      <w:r>
        <w:rPr>
          <w:sz w:val="22"/>
        </w:rPr>
        <w:t>______________________________________________________________________</w:t>
      </w:r>
    </w:p>
    <w:p>
      <w:r>
        <w:rPr>
          <w:b/>
          <w:color w:val="333333"/>
          <w:sz w:val="22"/>
        </w:rPr>
        <w:t xml:space="preserve">Durée de souscription souhaitée : </w:t>
      </w:r>
    </w:p>
    <w:p>
      <w:pPr>
        <w:pStyle w:val="ListBullet"/>
      </w:pPr>
      <w:r>
        <w:rPr>
          <w:sz w:val="22"/>
        </w:rPr>
        <w:t xml:space="preserve">☐ </w:t>
      </w:r>
      <w:r>
        <w:rPr>
          <w:sz w:val="22"/>
        </w:rPr>
        <w:t>1 an</w:t>
      </w:r>
    </w:p>
    <w:p>
      <w:pPr>
        <w:pStyle w:val="ListBullet"/>
      </w:pPr>
      <w:r>
        <w:rPr>
          <w:sz w:val="22"/>
        </w:rPr>
        <w:t xml:space="preserve">☐ </w:t>
      </w:r>
      <w:r>
        <w:rPr>
          <w:sz w:val="22"/>
        </w:rPr>
        <w:t>2 ans</w:t>
      </w:r>
    </w:p>
    <w:p>
      <w:pPr>
        <w:pStyle w:val="ListBullet"/>
      </w:pPr>
      <w:r>
        <w:rPr>
          <w:sz w:val="22"/>
        </w:rPr>
        <w:t xml:space="preserve">☐ </w:t>
      </w:r>
      <w:r>
        <w:rPr>
          <w:sz w:val="22"/>
        </w:rPr>
        <w:t>3 ans</w:t>
      </w:r>
    </w:p>
    <w:p>
      <w:pPr>
        <w:pStyle w:val="ListBullet"/>
      </w:pPr>
      <w:r>
        <w:rPr>
          <w:sz w:val="22"/>
        </w:rPr>
        <w:t xml:space="preserve">☐ </w:t>
      </w:r>
      <w:r>
        <w:rPr>
          <w:sz w:val="22"/>
        </w:rPr>
        <w:t>À conseiller</w:t>
      </w:r>
    </w:p>
    <w:p>
      <w:r>
        <w:rPr>
          <w:b/>
          <w:color w:val="333333"/>
          <w:sz w:val="22"/>
        </w:rPr>
        <w:t xml:space="preserve">Services associés (cochez autant que nécessaire) : </w:t>
      </w:r>
    </w:p>
    <w:p>
      <w:pPr>
        <w:pStyle w:val="ListBullet"/>
      </w:pPr>
      <w:r>
        <w:rPr>
          <w:sz w:val="22"/>
        </w:rPr>
        <w:t xml:space="preserve">☐ </w:t>
      </w:r>
      <w:r>
        <w:rPr>
          <w:sz w:val="22"/>
        </w:rPr>
        <w:t>Déploiement par ENIX</w:t>
      </w:r>
    </w:p>
    <w:p>
      <w:pPr>
        <w:pStyle w:val="ListBullet"/>
      </w:pPr>
      <w:r>
        <w:rPr>
          <w:sz w:val="22"/>
        </w:rPr>
        <w:t xml:space="preserve">☐ </w:t>
      </w:r>
      <w:r>
        <w:rPr>
          <w:sz w:val="22"/>
        </w:rPr>
        <w:t>Paramétrage policies avancées</w:t>
      </w:r>
    </w:p>
    <w:p>
      <w:pPr>
        <w:pStyle w:val="ListBullet"/>
      </w:pPr>
      <w:r>
        <w:rPr>
          <w:sz w:val="22"/>
        </w:rPr>
        <w:t xml:space="preserve">☐ </w:t>
      </w:r>
      <w:r>
        <w:rPr>
          <w:sz w:val="22"/>
        </w:rPr>
        <w:t>Intégration au SOC ENIX</w:t>
      </w:r>
    </w:p>
    <w:p>
      <w:pPr>
        <w:pStyle w:val="ListBullet"/>
      </w:pPr>
      <w:r>
        <w:rPr>
          <w:sz w:val="22"/>
        </w:rPr>
        <w:t xml:space="preserve">☐ </w:t>
      </w:r>
      <w:r>
        <w:rPr>
          <w:sz w:val="22"/>
        </w:rPr>
        <w:t>Formation administrateurs</w:t>
      </w:r>
    </w:p>
    <w:p>
      <w:pPr>
        <w:pStyle w:val="ListBullet"/>
      </w:pPr>
      <w:r>
        <w:rPr>
          <w:sz w:val="22"/>
        </w:rPr>
        <w:t xml:space="preserve">☐ </w:t>
      </w:r>
      <w:r>
        <w:rPr>
          <w:sz w:val="22"/>
        </w:rPr>
        <w:t>Support 24/7</w:t>
      </w:r>
    </w:p>
    <w:p>
      <w:pPr>
        <w:spacing w:before="240" w:after="80"/>
      </w:pPr>
      <w:r>
        <w:rPr>
          <w:b/>
          <w:color w:val="0B4D92"/>
          <w:sz w:val="36"/>
        </w:rPr>
        <w:t>3. Budget &amp; calendrier</w:t>
      </w:r>
    </w:p>
    <w:p>
      <w:r>
        <w:rPr>
          <w:b/>
          <w:color w:val="333333"/>
          <w:sz w:val="22"/>
        </w:rPr>
        <w:t xml:space="preserve">Budget estimé : </w:t>
      </w:r>
    </w:p>
    <w:p>
      <w:pPr>
        <w:pStyle w:val="ListBullet"/>
      </w:pPr>
      <w:r>
        <w:rPr>
          <w:sz w:val="22"/>
        </w:rPr>
        <w:t xml:space="preserve">☐ </w:t>
      </w:r>
      <w:r>
        <w:rPr>
          <w:sz w:val="22"/>
        </w:rPr>
        <w:t>Moins de 500 000 FCFA</w:t>
      </w:r>
    </w:p>
    <w:p>
      <w:pPr>
        <w:pStyle w:val="ListBullet"/>
      </w:pPr>
      <w:r>
        <w:rPr>
          <w:sz w:val="22"/>
        </w:rPr>
        <w:t xml:space="preserve">☐ </w:t>
      </w:r>
      <w:r>
        <w:rPr>
          <w:sz w:val="22"/>
        </w:rPr>
        <w:t>500 000 – 2 000 000 FCFA</w:t>
      </w:r>
    </w:p>
    <w:p>
      <w:pPr>
        <w:pStyle w:val="ListBullet"/>
      </w:pPr>
      <w:r>
        <w:rPr>
          <w:sz w:val="22"/>
        </w:rPr>
        <w:t xml:space="preserve">☐ </w:t>
      </w:r>
      <w:r>
        <w:rPr>
          <w:sz w:val="22"/>
        </w:rPr>
        <w:t>2 000 000 – 10 000 000 FCFA</w:t>
      </w:r>
    </w:p>
    <w:p>
      <w:pPr>
        <w:pStyle w:val="ListBullet"/>
      </w:pPr>
      <w:r>
        <w:rPr>
          <w:sz w:val="22"/>
        </w:rPr>
        <w:t xml:space="preserve">☐ </w:t>
      </w:r>
      <w:r>
        <w:rPr>
          <w:sz w:val="22"/>
        </w:rPr>
        <w:t>10 000 000 – 50 000 000 FCFA</w:t>
      </w:r>
    </w:p>
    <w:p>
      <w:pPr>
        <w:pStyle w:val="ListBullet"/>
      </w:pPr>
      <w:r>
        <w:rPr>
          <w:sz w:val="22"/>
        </w:rPr>
        <w:t xml:space="preserve">☐ </w:t>
      </w:r>
      <w:r>
        <w:rPr>
          <w:sz w:val="22"/>
        </w:rPr>
        <w:t>Plus de 50 000 000 FCFA</w:t>
      </w:r>
    </w:p>
    <w:p>
      <w:pPr>
        <w:pStyle w:val="ListBullet"/>
      </w:pPr>
      <w:r>
        <w:rPr>
          <w:sz w:val="22"/>
        </w:rPr>
        <w:t xml:space="preserve">☐ </w:t>
      </w:r>
      <w:r>
        <w:rPr>
          <w:sz w:val="22"/>
        </w:rPr>
        <w:t>À chiffrer ensemble</w:t>
      </w:r>
    </w:p>
    <w:p>
      <w:r>
        <w:rPr>
          <w:b/>
          <w:color w:val="333333"/>
          <w:sz w:val="22"/>
        </w:rPr>
        <w:t xml:space="preserve">Délai souhaité : </w:t>
      </w:r>
    </w:p>
    <w:p>
      <w:pPr>
        <w:pStyle w:val="ListBullet"/>
      </w:pPr>
      <w:r>
        <w:rPr>
          <w:sz w:val="22"/>
        </w:rPr>
        <w:t xml:space="preserve">☐ </w:t>
      </w:r>
      <w:r>
        <w:rPr>
          <w:sz w:val="22"/>
        </w:rPr>
        <w:t>Urgent (&lt; 2 semaines)</w:t>
      </w:r>
    </w:p>
    <w:p>
      <w:pPr>
        <w:pStyle w:val="ListBullet"/>
      </w:pPr>
      <w:r>
        <w:rPr>
          <w:sz w:val="22"/>
        </w:rPr>
        <w:t xml:space="preserve">☐ </w:t>
      </w:r>
      <w:r>
        <w:rPr>
          <w:sz w:val="22"/>
        </w:rPr>
        <w:t>Court terme (2–8 semaines)</w:t>
      </w:r>
    </w:p>
    <w:p>
      <w:pPr>
        <w:pStyle w:val="ListBullet"/>
      </w:pPr>
      <w:r>
        <w:rPr>
          <w:sz w:val="22"/>
        </w:rPr>
        <w:t xml:space="preserve">☐ </w:t>
      </w:r>
      <w:r>
        <w:rPr>
          <w:sz w:val="22"/>
        </w:rPr>
        <w:t>Moyen terme (2–6 mois)</w:t>
      </w:r>
    </w:p>
    <w:p>
      <w:pPr>
        <w:pStyle w:val="ListBullet"/>
      </w:pPr>
      <w:r>
        <w:rPr>
          <w:sz w:val="22"/>
        </w:rPr>
        <w:t xml:space="preserve">☐ </w:t>
      </w:r>
      <w:r>
        <w:rPr>
          <w:sz w:val="22"/>
        </w:rPr>
        <w:t>Long terme (&gt; 6 mois)</w:t>
      </w:r>
    </w:p>
    <w:p>
      <w:r>
        <w:rPr>
          <w:b/>
          <w:color w:val="333333"/>
          <w:sz w:val="22"/>
        </w:rPr>
        <w:t xml:space="preserve">Mode d'achat envisagé : </w:t>
      </w:r>
    </w:p>
    <w:p>
      <w:pPr>
        <w:pStyle w:val="ListBullet"/>
      </w:pPr>
      <w:r>
        <w:rPr>
          <w:sz w:val="22"/>
        </w:rPr>
        <w:t xml:space="preserve">☐ </w:t>
      </w:r>
      <w:r>
        <w:rPr>
          <w:sz w:val="22"/>
        </w:rPr>
        <w:t>Achat direct</w:t>
      </w:r>
    </w:p>
    <w:p>
      <w:pPr>
        <w:pStyle w:val="ListBullet"/>
      </w:pPr>
      <w:r>
        <w:rPr>
          <w:sz w:val="22"/>
        </w:rPr>
        <w:t xml:space="preserve">☐ </w:t>
      </w:r>
      <w:r>
        <w:rPr>
          <w:sz w:val="22"/>
        </w:rPr>
        <w:t>Abonnement / souscription</w:t>
      </w:r>
    </w:p>
    <w:p>
      <w:pPr>
        <w:pStyle w:val="ListBullet"/>
      </w:pPr>
      <w:r>
        <w:rPr>
          <w:sz w:val="22"/>
        </w:rPr>
        <w:t xml:space="preserve">☐ </w:t>
      </w:r>
      <w:r>
        <w:rPr>
          <w:sz w:val="22"/>
        </w:rPr>
        <w:t>Location / leasing</w:t>
      </w:r>
    </w:p>
    <w:p>
      <w:pPr>
        <w:pStyle w:val="ListBullet"/>
      </w:pPr>
      <w:r>
        <w:rPr>
          <w:sz w:val="22"/>
        </w:rPr>
        <w:t xml:space="preserve">☐ </w:t>
      </w:r>
      <w:r>
        <w:rPr>
          <w:sz w:val="22"/>
        </w:rPr>
        <w:t>Appel d'offres public</w:t>
      </w:r>
    </w:p>
    <w:p>
      <w:pPr>
        <w:pStyle w:val="ListBullet"/>
      </w:pPr>
      <w:r>
        <w:rPr>
          <w:sz w:val="22"/>
        </w:rPr>
        <w:t xml:space="preserve">☐ </w:t>
      </w:r>
      <w:r>
        <w:rPr>
          <w:sz w:val="22"/>
        </w:rPr>
        <w:t>À discuter</w:t>
      </w:r>
    </w:p>
    <w:p>
      <w:pPr>
        <w:spacing w:before="240" w:after="80"/>
      </w:pPr>
      <w:r>
        <w:rPr>
          <w:b/>
          <w:color w:val="0B4D92"/>
          <w:sz w:val="36"/>
        </w:rPr>
        <w:t>4. Précisions libres</w:t>
      </w:r>
    </w:p>
    <w:p>
      <w:r>
        <w:rPr>
          <w:b/>
          <w:color w:val="333333"/>
          <w:sz w:val="22"/>
        </w:rPr>
        <w:t xml:space="preserve">Contexte, contraintes, informations utiles : </w:t>
      </w:r>
    </w:p>
    <w:p>
      <w:pPr>
        <w:spacing w:after="0"/>
      </w:pPr>
      <w:r>
        <w:rPr>
          <w:sz w:val="22"/>
        </w:rPr>
        <w:t>______________________________________________________________________</w:t>
      </w:r>
    </w:p>
    <w:p>
      <w:pPr>
        <w:spacing w:after="0"/>
      </w:pPr>
      <w:r>
        <w:rPr>
          <w:sz w:val="22"/>
        </w:rPr>
        <w:t>______________________________________________________________________</w:t>
      </w:r>
    </w:p>
    <w:p>
      <w:pPr>
        <w:spacing w:after="0"/>
      </w:pPr>
      <w:r>
        <w:rPr>
          <w:sz w:val="22"/>
        </w:rPr>
        <w:t>______________________________________________________________________</w:t>
      </w:r>
    </w:p>
    <w:p>
      <w:pPr>
        <w:spacing w:after="0"/>
      </w:pPr>
      <w:r>
        <w:rPr>
          <w:sz w:val="22"/>
        </w:rPr>
        <w:t>______________________________________________________________________</w:t>
      </w:r>
    </w:p>
    <w:p>
      <w:pPr>
        <w:spacing w:before="240" w:after="80"/>
      </w:pPr>
      <w:r>
        <w:rPr>
          <w:b/>
          <w:color w:val="0B4D92"/>
          <w:sz w:val="36"/>
        </w:rPr>
        <w:t>5. Consentement</w:t>
      </w:r>
    </w:p>
    <w:p>
      <w:r>
        <w:rPr>
          <w:sz w:val="22"/>
        </w:rPr>
        <w:t xml:space="preserve">☐ </w:t>
      </w:r>
      <w:r>
        <w:rPr>
          <w:sz w:val="20"/>
        </w:rPr>
        <w:t>J'autorise ENIX SARL à traiter les informations fournies dans le cadre de ma demande, conformément à la loi camerounaise n° 2024/017 du 23 décembre 2024 relative à la protection des données à caractère personnel.</w:t>
      </w:r>
    </w:p>
    <w:p/>
    <w:p>
      <w:pPr>
        <w:jc w:val="center"/>
      </w:pPr>
      <w:r>
        <w:rPr>
          <w:color w:val="6C90B5"/>
          <w:sz w:val="18"/>
        </w:rPr>
        <w:t>ENIX SARL · Yaoundé – Douala – Cameroun · sales@enix.cm · +237 6 78 10 64 64 · www.enixcompany.com</w:t>
      </w:r>
    </w:p>
    <w:p>
      <w:pPr>
        <w:jc w:val="center"/>
      </w:pPr>
      <w:r>
        <w:rPr>
          <w:i/>
          <w:color w:val="6C90B5"/>
          <w:sz w:val="16"/>
        </w:rPr>
        <w:t>Ce formulaire, une fois rempli, peut être envoyé par email à sales@enix.cm. Vos données sont traitées conformément à la loi 2024/017.</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